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28E0611" w:rsidR="00E90E49" w:rsidRPr="00CE0424" w:rsidRDefault="00E90E49" w:rsidP="00E35559">
      <w:pPr>
        <w:pStyle w:val="3GPPHeader"/>
        <w:spacing w:after="60"/>
        <w:rPr>
          <w:sz w:val="32"/>
          <w:szCs w:val="32"/>
          <w:highlight w:val="yellow"/>
        </w:rPr>
      </w:pPr>
      <w:bookmarkStart w:id="0" w:name="_GoBack"/>
      <w:r w:rsidRPr="00CE0424">
        <w:t>3GPP TSG-RAN WG</w:t>
      </w:r>
      <w:r w:rsidR="008F1C4E">
        <w:t>1</w:t>
      </w:r>
      <w:r w:rsidRPr="00CE0424">
        <w:t xml:space="preserve"> </w:t>
      </w:r>
      <w:r w:rsidR="008F1C4E">
        <w:t xml:space="preserve">Meeting </w:t>
      </w:r>
      <w:r w:rsidRPr="00CE0424">
        <w:t>#</w:t>
      </w:r>
      <w:r w:rsidR="00CE0BF7">
        <w:t>9</w:t>
      </w:r>
      <w:r w:rsidR="00FE7FD8">
        <w:t>4</w:t>
      </w:r>
      <w:r w:rsidR="00AC1F74">
        <w:t>bis</w:t>
      </w:r>
      <w:r w:rsidRPr="00CE0424">
        <w:tab/>
      </w:r>
      <w:proofErr w:type="spellStart"/>
      <w:r w:rsidRPr="00E2643B">
        <w:rPr>
          <w:sz w:val="32"/>
          <w:szCs w:val="32"/>
        </w:rPr>
        <w:t>Tdoc</w:t>
      </w:r>
      <w:proofErr w:type="spellEnd"/>
      <w:r w:rsidRPr="00E2643B">
        <w:rPr>
          <w:sz w:val="32"/>
          <w:szCs w:val="32"/>
        </w:rPr>
        <w:t xml:space="preserve"> </w:t>
      </w:r>
      <w:r w:rsidR="00E2643B" w:rsidRPr="00E2643B">
        <w:rPr>
          <w:sz w:val="32"/>
          <w:szCs w:val="32"/>
        </w:rPr>
        <w:t>R1- 1810199</w:t>
      </w:r>
    </w:p>
    <w:p w14:paraId="60A5317D" w14:textId="5FC383A2" w:rsidR="00E90E49" w:rsidRPr="00CE0424" w:rsidRDefault="00AC1F74" w:rsidP="00357380">
      <w:pPr>
        <w:pStyle w:val="3GPPHeader"/>
      </w:pPr>
      <w:r w:rsidRPr="00AC1F74">
        <w:t>Chengdu, China, October 8th – 12th, 2018</w:t>
      </w:r>
    </w:p>
    <w:p w14:paraId="3C6869D1" w14:textId="49B6B73A"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A61DD2" w:rsidRPr="00E2643B">
        <w:rPr>
          <w:sz w:val="22"/>
          <w:szCs w:val="22"/>
          <w:lang w:val="en-US"/>
        </w:rPr>
        <w:t>6.2.2.6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777E8" w14:textId="77777777" w:rsidR="00114492" w:rsidRDefault="003D3C45" w:rsidP="00D546FF">
      <w:pPr>
        <w:pStyle w:val="3GPPHeader"/>
        <w:rPr>
          <w:sz w:val="22"/>
          <w:szCs w:val="22"/>
        </w:rPr>
      </w:pPr>
      <w:r>
        <w:rPr>
          <w:sz w:val="22"/>
          <w:szCs w:val="22"/>
        </w:rPr>
        <w:t>Title:</w:t>
      </w:r>
      <w:r w:rsidR="00E90E49" w:rsidRPr="00CE0424">
        <w:rPr>
          <w:sz w:val="22"/>
          <w:szCs w:val="22"/>
        </w:rPr>
        <w:tab/>
      </w:r>
      <w:r w:rsidR="00114492">
        <w:rPr>
          <w:lang w:eastAsia="x-none"/>
        </w:rPr>
        <w:t>Presence of NRS on a non-anchor carrier for paging in NB-IoT</w:t>
      </w:r>
      <w:r w:rsidR="00114492" w:rsidRPr="00CE0424">
        <w:rPr>
          <w:sz w:val="22"/>
          <w:szCs w:val="22"/>
        </w:rPr>
        <w:t xml:space="preserve"> </w:t>
      </w:r>
    </w:p>
    <w:p w14:paraId="58D4CB54" w14:textId="3FE8873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76893D37" w14:textId="77777777" w:rsidR="00E90E49" w:rsidRPr="00CE0424" w:rsidRDefault="00E90E49" w:rsidP="00E90E49"/>
    <w:p w14:paraId="09FE4FCF" w14:textId="271154C8" w:rsidR="00E90E49" w:rsidRDefault="00E90E49" w:rsidP="00B249B5">
      <w:pPr>
        <w:pStyle w:val="Heading1"/>
        <w:numPr>
          <w:ilvl w:val="0"/>
          <w:numId w:val="25"/>
        </w:numPr>
      </w:pPr>
      <w:r w:rsidRPr="00CE0424">
        <w:t>Introduction</w:t>
      </w:r>
    </w:p>
    <w:p w14:paraId="04074C93" w14:textId="77777777" w:rsidR="00B249B5" w:rsidRPr="00B249B5" w:rsidRDefault="00B249B5" w:rsidP="00B249B5"/>
    <w:p w14:paraId="7C48702B" w14:textId="5A4409BC" w:rsidR="00477768" w:rsidRDefault="00251DCA" w:rsidP="00CE0424">
      <w:pPr>
        <w:pStyle w:val="BodyText"/>
      </w:pPr>
      <w:r>
        <w:t xml:space="preserve">In the work item description (WID) of </w:t>
      </w:r>
      <w:r w:rsidRPr="00251DCA">
        <w:t>Rel-16 enhancements for NB-IoT</w:t>
      </w:r>
      <w:r>
        <w:t>, one of the objectives is to improve the multi-carrier operation as follows</w:t>
      </w:r>
      <w:r w:rsidR="00EC5209">
        <w:t xml:space="preserve"> </w:t>
      </w:r>
      <w:r w:rsidR="00EC5209">
        <w:fldChar w:fldCharType="begin"/>
      </w:r>
      <w:r w:rsidR="00EC5209">
        <w:instrText xml:space="preserve"> REF _Ref520716422 \r \h </w:instrText>
      </w:r>
      <w:r w:rsidR="00EC5209">
        <w:fldChar w:fldCharType="separate"/>
      </w:r>
      <w:r w:rsidR="00253436">
        <w:t>[1]</w:t>
      </w:r>
      <w:r w:rsidR="00EC5209">
        <w:fldChar w:fldCharType="end"/>
      </w:r>
      <w:r>
        <w:t xml:space="preserve">. </w:t>
      </w:r>
    </w:p>
    <w:p w14:paraId="6E72CFE7"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Specify support of Msg3 quality reporting for non-anchor access [RAN1, RAN2]</w:t>
      </w:r>
    </w:p>
    <w:p w14:paraId="459EC608"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 xml:space="preserve">Specify signalling to indicate on a non-anchor carrier for paging a set of subframes which will contain NRS even when no paging NPDCCH is transmitted [RAN1, RAN2, RAN4] </w:t>
      </w:r>
    </w:p>
    <w:p w14:paraId="22250154" w14:textId="77777777" w:rsidR="00EC5209" w:rsidRDefault="00EC5209" w:rsidP="00CE0424">
      <w:pPr>
        <w:pStyle w:val="BodyText"/>
      </w:pPr>
    </w:p>
    <w:p w14:paraId="3C2578CB" w14:textId="6B60CCBA" w:rsidR="00B249B5" w:rsidRDefault="00B249B5" w:rsidP="00CE0424">
      <w:pPr>
        <w:pStyle w:val="BodyText"/>
      </w:pPr>
      <w:r>
        <w:t xml:space="preserve">In RAN1#94, the followings were agreed in RAN1 that </w:t>
      </w:r>
    </w:p>
    <w:p w14:paraId="1E64EA92" w14:textId="19B38245" w:rsidR="000008AE" w:rsidRPr="000008AE" w:rsidRDefault="000008AE" w:rsidP="00B249B5">
      <w:pPr>
        <w:pStyle w:val="BodyText"/>
        <w:ind w:left="567"/>
        <w:rPr>
          <w:rFonts w:ascii="Times New Roman" w:hAnsi="Times New Roman"/>
          <w:i/>
        </w:rPr>
      </w:pPr>
      <w:r w:rsidRPr="000008AE">
        <w:rPr>
          <w:rFonts w:ascii="Times New Roman" w:hAnsi="Times New Roman"/>
          <w:i/>
        </w:rPr>
        <w:t>“</w:t>
      </w:r>
    </w:p>
    <w:p w14:paraId="21C50C73" w14:textId="733DA161" w:rsidR="00B249B5" w:rsidRPr="00B249B5" w:rsidRDefault="00B249B5" w:rsidP="00B249B5">
      <w:pPr>
        <w:pStyle w:val="BodyText"/>
        <w:ind w:left="567"/>
        <w:rPr>
          <w:rFonts w:ascii="Times New Roman" w:hAnsi="Times New Roman"/>
          <w:i/>
        </w:rPr>
      </w:pPr>
      <w:r w:rsidRPr="00B249B5">
        <w:rPr>
          <w:rFonts w:ascii="Times New Roman" w:hAnsi="Times New Roman"/>
          <w:i/>
          <w:highlight w:val="green"/>
        </w:rPr>
        <w:t>Agreement</w:t>
      </w:r>
      <w:r w:rsidRPr="00B249B5">
        <w:rPr>
          <w:rFonts w:ascii="Times New Roman" w:hAnsi="Times New Roman"/>
          <w:i/>
        </w:rPr>
        <w:t xml:space="preserve"> </w:t>
      </w:r>
    </w:p>
    <w:p w14:paraId="1F7B69C0" w14:textId="77777777" w:rsidR="00B249B5" w:rsidRPr="00B249B5" w:rsidRDefault="00B249B5" w:rsidP="00B249B5">
      <w:pPr>
        <w:pStyle w:val="BodyText"/>
        <w:ind w:left="567"/>
        <w:rPr>
          <w:rFonts w:ascii="Times New Roman" w:hAnsi="Times New Roman"/>
          <w:i/>
        </w:rPr>
      </w:pPr>
      <w:r w:rsidRPr="00B249B5">
        <w:rPr>
          <w:rFonts w:ascii="Times New Roman" w:hAnsi="Times New Roman"/>
          <w:i/>
        </w:rPr>
        <w:t>The presence of NRS on subframes which will contain NRS even when no paging NPDCCH is transmitted is enabled by broadcast signalling.</w:t>
      </w:r>
    </w:p>
    <w:p w14:paraId="5C94B9A6" w14:textId="77777777" w:rsidR="00B249B5" w:rsidRPr="00B249B5" w:rsidRDefault="00B249B5" w:rsidP="00B249B5">
      <w:pPr>
        <w:pStyle w:val="BodyText"/>
        <w:ind w:left="567"/>
        <w:rPr>
          <w:rFonts w:ascii="Times New Roman" w:hAnsi="Times New Roman"/>
          <w:i/>
        </w:rPr>
      </w:pPr>
      <w:r w:rsidRPr="00B249B5">
        <w:rPr>
          <w:rFonts w:ascii="Times New Roman" w:hAnsi="Times New Roman"/>
          <w:i/>
        </w:rPr>
        <w:t>•</w:t>
      </w:r>
      <w:r w:rsidRPr="00B249B5">
        <w:rPr>
          <w:rFonts w:ascii="Times New Roman" w:hAnsi="Times New Roman"/>
          <w:i/>
        </w:rPr>
        <w:tab/>
        <w:t>Above applies only for non-anchor carriers</w:t>
      </w:r>
    </w:p>
    <w:p w14:paraId="1746FE66" w14:textId="77777777" w:rsidR="00B249B5" w:rsidRPr="00B249B5" w:rsidRDefault="00B249B5" w:rsidP="00B249B5">
      <w:pPr>
        <w:pStyle w:val="BodyText"/>
        <w:ind w:left="567"/>
        <w:rPr>
          <w:rFonts w:ascii="Times New Roman" w:hAnsi="Times New Roman"/>
          <w:i/>
        </w:rPr>
      </w:pPr>
      <w:r w:rsidRPr="00B249B5">
        <w:rPr>
          <w:rFonts w:ascii="Times New Roman" w:hAnsi="Times New Roman"/>
          <w:i/>
          <w:highlight w:val="green"/>
        </w:rPr>
        <w:t>Agreement</w:t>
      </w:r>
    </w:p>
    <w:p w14:paraId="199A4CF3" w14:textId="77777777" w:rsidR="00B249B5" w:rsidRPr="00B249B5" w:rsidRDefault="00B249B5" w:rsidP="00B249B5">
      <w:pPr>
        <w:pStyle w:val="BodyText"/>
        <w:ind w:left="567"/>
        <w:rPr>
          <w:rFonts w:ascii="Times New Roman" w:hAnsi="Times New Roman"/>
          <w:i/>
        </w:rPr>
      </w:pPr>
      <w:r w:rsidRPr="00B249B5">
        <w:rPr>
          <w:rFonts w:ascii="Times New Roman" w:hAnsi="Times New Roman"/>
          <w:i/>
        </w:rPr>
        <w:t>For the objective on presence of NRS on a non-anchor carrier for paging, consider the following use case:</w:t>
      </w:r>
    </w:p>
    <w:p w14:paraId="4F86BB1A" w14:textId="77777777" w:rsidR="00B249B5" w:rsidRPr="00B249B5" w:rsidRDefault="00B249B5" w:rsidP="00B249B5">
      <w:pPr>
        <w:pStyle w:val="BodyText"/>
        <w:ind w:left="567"/>
        <w:rPr>
          <w:rFonts w:ascii="Times New Roman" w:hAnsi="Times New Roman"/>
          <w:i/>
        </w:rPr>
      </w:pPr>
      <w:r w:rsidRPr="00B249B5">
        <w:rPr>
          <w:rFonts w:ascii="Times New Roman" w:hAnsi="Times New Roman"/>
          <w:i/>
        </w:rPr>
        <w:t>•</w:t>
      </w:r>
      <w:r w:rsidRPr="00B249B5">
        <w:rPr>
          <w:rFonts w:ascii="Times New Roman" w:hAnsi="Times New Roman"/>
          <w:i/>
        </w:rPr>
        <w:tab/>
        <w:t>Early termination of NPDCCH / WUS</w:t>
      </w:r>
    </w:p>
    <w:p w14:paraId="7B9AED88" w14:textId="195DE9A0" w:rsidR="00B249B5" w:rsidRDefault="00B249B5" w:rsidP="00B249B5">
      <w:pPr>
        <w:pStyle w:val="BodyText"/>
        <w:ind w:left="567"/>
        <w:rPr>
          <w:rFonts w:ascii="Times New Roman" w:hAnsi="Times New Roman"/>
          <w:i/>
        </w:rPr>
      </w:pPr>
      <w:r w:rsidRPr="00B249B5">
        <w:rPr>
          <w:rFonts w:ascii="Times New Roman" w:hAnsi="Times New Roman"/>
          <w:i/>
        </w:rPr>
        <w:t>Above is not intended to restrict the study of other use cases in other WGs which may or may not have RAN1 specification impact</w:t>
      </w:r>
    </w:p>
    <w:p w14:paraId="42D856CC" w14:textId="25C5A37D" w:rsidR="000008AE" w:rsidRPr="00B249B5" w:rsidRDefault="000008AE" w:rsidP="00B249B5">
      <w:pPr>
        <w:pStyle w:val="BodyText"/>
        <w:ind w:left="567"/>
        <w:rPr>
          <w:rFonts w:ascii="Times New Roman" w:hAnsi="Times New Roman"/>
          <w:i/>
        </w:rPr>
      </w:pPr>
      <w:r>
        <w:rPr>
          <w:rFonts w:ascii="Times New Roman" w:hAnsi="Times New Roman"/>
          <w:i/>
        </w:rPr>
        <w:t>”</w:t>
      </w:r>
    </w:p>
    <w:p w14:paraId="176681A5" w14:textId="0DAA2195" w:rsidR="00E774CC" w:rsidRPr="00CE0424" w:rsidRDefault="00E774CC" w:rsidP="00CE0424">
      <w:pPr>
        <w:pStyle w:val="BodyText"/>
      </w:pPr>
      <w:r>
        <w:t xml:space="preserve">In this contribution, </w:t>
      </w:r>
      <w:r w:rsidR="005B7FE3">
        <w:t xml:space="preserve">we </w:t>
      </w:r>
      <w:r w:rsidR="00B249B5">
        <w:t xml:space="preserve">continue </w:t>
      </w:r>
      <w:r w:rsidR="005B7FE3">
        <w:t xml:space="preserve">discuss </w:t>
      </w:r>
      <w:r w:rsidR="002030F3">
        <w:t xml:space="preserve">the support of </w:t>
      </w:r>
      <w:r w:rsidR="002030F3">
        <w:rPr>
          <w:rFonts w:cs="Arial"/>
          <w:bCs/>
        </w:rPr>
        <w:t>indicating</w:t>
      </w:r>
      <w:r w:rsidRPr="00251DCA">
        <w:rPr>
          <w:rFonts w:cs="Arial"/>
          <w:bCs/>
        </w:rPr>
        <w:t xml:space="preserve"> on a non-anchor carrier for paging a set of subframes which will contain NRS even when no paging NPDCCH is transmitted</w:t>
      </w:r>
      <w:r>
        <w:rPr>
          <w:rFonts w:cs="Arial"/>
          <w:bCs/>
        </w:rPr>
        <w:t xml:space="preserve">. </w:t>
      </w:r>
    </w:p>
    <w:p w14:paraId="020415C4" w14:textId="3A2723DA" w:rsidR="004000E8" w:rsidRDefault="004000E8" w:rsidP="00B249B5">
      <w:pPr>
        <w:pStyle w:val="Heading1"/>
        <w:numPr>
          <w:ilvl w:val="0"/>
          <w:numId w:val="25"/>
        </w:numPr>
      </w:pPr>
      <w:bookmarkStart w:id="1" w:name="_Ref178064866"/>
      <w:r w:rsidRPr="00CE0424">
        <w:t>Discussion</w:t>
      </w:r>
      <w:bookmarkEnd w:id="1"/>
    </w:p>
    <w:p w14:paraId="7F2B5B23" w14:textId="6EB91A50" w:rsidR="003742AC" w:rsidRDefault="002030F3" w:rsidP="00A04F49">
      <w:pPr>
        <w:pStyle w:val="BodyText"/>
        <w:rPr>
          <w:rFonts w:cs="Arial"/>
          <w:bCs/>
        </w:rPr>
      </w:pPr>
      <w:r>
        <w:t>One of the</w:t>
      </w:r>
      <w:r w:rsidR="00B14E13">
        <w:t xml:space="preserve"> WI </w:t>
      </w:r>
      <w:r>
        <w:t>objectives in improving</w:t>
      </w:r>
      <w:r w:rsidR="00E73A21">
        <w:t xml:space="preserve"> the multi-carrier</w:t>
      </w:r>
      <w:r w:rsidR="00E72719">
        <w:t xml:space="preserve"> operation</w:t>
      </w:r>
      <w:r w:rsidR="00E73A21">
        <w:t xml:space="preserve"> in </w:t>
      </w:r>
      <w:r w:rsidR="00FB3419">
        <w:t xml:space="preserve">Rel16 </w:t>
      </w:r>
      <w:r w:rsidR="00E73A21">
        <w:t>NB</w:t>
      </w:r>
      <w:r w:rsidR="00FB3419">
        <w:t xml:space="preserve">-IoT is to specify </w:t>
      </w:r>
      <w:r w:rsidR="00FB3419" w:rsidRPr="00251DCA">
        <w:rPr>
          <w:rFonts w:cs="Arial"/>
          <w:bCs/>
        </w:rPr>
        <w:t>signalling to indicate on a non-anchor carrier for paging a set of subframes which will contain NRS even when no paging NPDCCH is transmitted</w:t>
      </w:r>
      <w:r w:rsidR="00FB3419">
        <w:rPr>
          <w:rFonts w:cs="Arial"/>
          <w:bCs/>
        </w:rPr>
        <w:t xml:space="preserve">. </w:t>
      </w:r>
    </w:p>
    <w:p w14:paraId="6F0A56CD" w14:textId="6E169824" w:rsidR="00FB3419" w:rsidRDefault="00FB3419" w:rsidP="00A04F49">
      <w:pPr>
        <w:pStyle w:val="BodyText"/>
        <w:rPr>
          <w:rFonts w:cs="Arial"/>
          <w:bCs/>
          <w:lang w:val="en-US"/>
        </w:rPr>
      </w:pPr>
      <w:r>
        <w:rPr>
          <w:rFonts w:cs="Arial"/>
          <w:bCs/>
        </w:rPr>
        <w:t xml:space="preserve">Recall that in Rel-14 for non-anchor paging, the NRS is only transmitted if there is a paging message. The intention was to minimize the network overhead and reduce interference as the paging load is not expected to be high in NB-IoT. </w:t>
      </w:r>
      <w:r w:rsidR="00E72719">
        <w:rPr>
          <w:rFonts w:cs="Arial"/>
          <w:bCs/>
        </w:rPr>
        <w:t>Having</w:t>
      </w:r>
      <w:r>
        <w:rPr>
          <w:rFonts w:cs="Arial"/>
          <w:bCs/>
        </w:rPr>
        <w:t xml:space="preserve"> </w:t>
      </w:r>
      <w:r w:rsidR="000F6A18">
        <w:rPr>
          <w:rFonts w:cs="Arial"/>
          <w:bCs/>
        </w:rPr>
        <w:t>an</w:t>
      </w:r>
      <w:r>
        <w:rPr>
          <w:rFonts w:cs="Arial"/>
          <w:bCs/>
        </w:rPr>
        <w:t xml:space="preserve"> always on NRS for paging on non-anc</w:t>
      </w:r>
      <w:r w:rsidR="000F6A18">
        <w:rPr>
          <w:rFonts w:cs="Arial"/>
          <w:bCs/>
        </w:rPr>
        <w:t xml:space="preserve">hor carrier not only increases the energy costs for the operators but also causes unnecessary interference. Furthermore, as the LTE resource allocation is done via RBGs </w:t>
      </w:r>
      <w:r w:rsidR="000F6A18" w:rsidRPr="000F6A18">
        <w:rPr>
          <w:rFonts w:cs="Arial"/>
          <w:bCs/>
        </w:rPr>
        <w:t>(Resource Block Group</w:t>
      </w:r>
      <w:r w:rsidR="000F6A18">
        <w:rPr>
          <w:rFonts w:cs="Arial"/>
          <w:bCs/>
        </w:rPr>
        <w:t>s</w:t>
      </w:r>
      <w:r w:rsidR="000F6A18" w:rsidRPr="000F6A18">
        <w:rPr>
          <w:rFonts w:cs="Arial"/>
          <w:bCs/>
        </w:rPr>
        <w:t>)</w:t>
      </w:r>
      <w:r w:rsidR="000F6A18">
        <w:rPr>
          <w:rFonts w:cs="Arial"/>
          <w:bCs/>
        </w:rPr>
        <w:t>, the presence of NRS would fragment</w:t>
      </w:r>
      <w:r w:rsidR="00E72719">
        <w:rPr>
          <w:rFonts w:cs="Arial"/>
          <w:bCs/>
        </w:rPr>
        <w:t xml:space="preserve"> LTE resource allocation and</w:t>
      </w:r>
      <w:r w:rsidR="000F6A18">
        <w:rPr>
          <w:rFonts w:cs="Arial"/>
          <w:bCs/>
        </w:rPr>
        <w:t xml:space="preserve"> degrade the LTE performance </w:t>
      </w:r>
      <w:r w:rsidR="000F6A18">
        <w:rPr>
          <w:rFonts w:cs="Arial" w:hint="eastAsia"/>
          <w:bCs/>
        </w:rPr>
        <w:t>if</w:t>
      </w:r>
      <w:r w:rsidR="000F6A18">
        <w:rPr>
          <w:rFonts w:cs="Arial"/>
          <w:bCs/>
        </w:rPr>
        <w:t xml:space="preserve"> </w:t>
      </w:r>
      <w:r w:rsidR="000F6A18" w:rsidRPr="000F6A18">
        <w:rPr>
          <w:rFonts w:cs="Arial"/>
          <w:bCs/>
          <w:lang w:val="en-US"/>
        </w:rPr>
        <w:t>N</w:t>
      </w:r>
      <w:r w:rsidR="000F6A18">
        <w:rPr>
          <w:rFonts w:cs="Arial"/>
          <w:bCs/>
          <w:lang w:val="en-US"/>
        </w:rPr>
        <w:t xml:space="preserve">B-IoT is deployed </w:t>
      </w:r>
      <w:proofErr w:type="spellStart"/>
      <w:r w:rsidR="000F6A18">
        <w:rPr>
          <w:rFonts w:cs="Arial"/>
          <w:bCs/>
          <w:lang w:val="en-US"/>
        </w:rPr>
        <w:t>inband</w:t>
      </w:r>
      <w:proofErr w:type="spellEnd"/>
      <w:r w:rsidR="000F6A18">
        <w:rPr>
          <w:rFonts w:cs="Arial"/>
          <w:bCs/>
          <w:lang w:val="en-US"/>
        </w:rPr>
        <w:t xml:space="preserve">. </w:t>
      </w:r>
      <w:r w:rsidR="005B7FE3">
        <w:rPr>
          <w:rFonts w:cs="Arial"/>
          <w:bCs/>
          <w:lang w:val="en-US"/>
        </w:rPr>
        <w:t>Considering NR coexistence with NB-IoT, an always-on NRS is not desirable as it will require configuring additional reserved resources on the NR carrier.</w:t>
      </w:r>
    </w:p>
    <w:p w14:paraId="264A97A6" w14:textId="645FC7AF" w:rsidR="004A0A1A" w:rsidRDefault="004757BE" w:rsidP="00A04F49">
      <w:pPr>
        <w:pStyle w:val="BodyText"/>
        <w:rPr>
          <w:rFonts w:cs="Arial"/>
          <w:bCs/>
        </w:rPr>
      </w:pPr>
      <w:r>
        <w:rPr>
          <w:rFonts w:cs="Arial"/>
          <w:bCs/>
          <w:lang w:val="en-US"/>
        </w:rPr>
        <w:lastRenderedPageBreak/>
        <w:t>During the RAN1#94 discussions, several use cases were discussed in RAN1, and it was concluded that “</w:t>
      </w:r>
      <w:r w:rsidR="00F554F0">
        <w:rPr>
          <w:rFonts w:ascii="Times New Roman" w:hAnsi="Times New Roman"/>
          <w:i/>
        </w:rPr>
        <w:t>Early termination of NPDCCH/</w:t>
      </w:r>
      <w:r w:rsidRPr="00B249B5">
        <w:rPr>
          <w:rFonts w:ascii="Times New Roman" w:hAnsi="Times New Roman"/>
          <w:i/>
        </w:rPr>
        <w:t>WUS</w:t>
      </w:r>
      <w:r>
        <w:rPr>
          <w:rFonts w:cs="Arial"/>
          <w:bCs/>
          <w:lang w:val="en-US"/>
        </w:rPr>
        <w:t>” is the use case that RAN1 needs to consider. F</w:t>
      </w:r>
      <w:r w:rsidR="000F6A18" w:rsidRPr="000F6A18">
        <w:rPr>
          <w:rFonts w:cs="Arial"/>
          <w:bCs/>
        </w:rPr>
        <w:t xml:space="preserve">rom the UE perspective, as shown in </w:t>
      </w:r>
      <w:r w:rsidR="000F6A18" w:rsidRPr="000F6A18">
        <w:rPr>
          <w:rFonts w:cs="Arial"/>
          <w:bCs/>
        </w:rPr>
        <w:fldChar w:fldCharType="begin"/>
      </w:r>
      <w:r w:rsidR="000F6A18" w:rsidRPr="000F6A18">
        <w:rPr>
          <w:rFonts w:cs="Arial"/>
          <w:bCs/>
        </w:rPr>
        <w:instrText xml:space="preserve"> REF _Ref520805932 \r \h </w:instrText>
      </w:r>
      <w:r w:rsidR="000F6A18">
        <w:rPr>
          <w:rFonts w:cs="Arial"/>
          <w:bCs/>
        </w:rPr>
        <w:instrText xml:space="preserve"> \* MERGEFORMAT </w:instrText>
      </w:r>
      <w:r w:rsidR="000F6A18" w:rsidRPr="000F6A18">
        <w:rPr>
          <w:rFonts w:cs="Arial"/>
          <w:bCs/>
        </w:rPr>
      </w:r>
      <w:r w:rsidR="000F6A18" w:rsidRPr="000F6A18">
        <w:rPr>
          <w:rFonts w:cs="Arial"/>
          <w:bCs/>
        </w:rPr>
        <w:fldChar w:fldCharType="separate"/>
      </w:r>
      <w:r w:rsidR="00253436">
        <w:rPr>
          <w:rFonts w:cs="Arial"/>
          <w:bCs/>
        </w:rPr>
        <w:t>[2]</w:t>
      </w:r>
      <w:r w:rsidR="000F6A18" w:rsidRPr="000F6A18">
        <w:rPr>
          <w:rFonts w:cs="Arial"/>
          <w:bCs/>
        </w:rPr>
        <w:fldChar w:fldCharType="end"/>
      </w:r>
      <w:r w:rsidR="000F6A18" w:rsidRPr="000F6A18">
        <w:rPr>
          <w:rFonts w:cs="Arial"/>
          <w:bCs/>
        </w:rPr>
        <w:t>, the presence of NRS on non-anchor carrier is very useful for UE to carry out early termination for both WUS and NPDCCH detection</w:t>
      </w:r>
      <w:r w:rsidR="00E72719">
        <w:rPr>
          <w:rFonts w:cs="Arial"/>
          <w:bCs/>
        </w:rPr>
        <w:t>s</w:t>
      </w:r>
      <w:r w:rsidR="000F6A18" w:rsidRPr="000F6A18">
        <w:rPr>
          <w:rFonts w:cs="Arial"/>
          <w:bCs/>
        </w:rPr>
        <w:t>. This can furthe</w:t>
      </w:r>
      <w:r w:rsidR="000F6A18">
        <w:rPr>
          <w:rFonts w:cs="Arial"/>
          <w:bCs/>
        </w:rPr>
        <w:t xml:space="preserve">r improve the UE energy saving. </w:t>
      </w:r>
      <w:r w:rsidR="004A0A1A">
        <w:rPr>
          <w:rFonts w:cs="Arial"/>
          <w:bCs/>
        </w:rPr>
        <w:t xml:space="preserve">Therefore, the eNB should only transmit NRS if it is certain that this can benefit some UEs, i.e., there are UEs that support early termination. </w:t>
      </w:r>
    </w:p>
    <w:p w14:paraId="4989C236" w14:textId="1215C6DB" w:rsidR="00824E5E" w:rsidRPr="004757BE" w:rsidRDefault="004757BE" w:rsidP="005046E8">
      <w:pPr>
        <w:pStyle w:val="Proposal"/>
        <w:rPr>
          <w:rFonts w:cs="Arial"/>
        </w:rPr>
      </w:pPr>
      <w:bookmarkStart w:id="2" w:name="_Toc525921125"/>
      <w:r>
        <w:t xml:space="preserve">Information about UE supports early termination of NPDCCH/WUS should be made available at eNB, so the eNB can </w:t>
      </w:r>
      <w:r w:rsidR="00824E5E">
        <w:t>decide whether to turn on the NRS transmission on non-anchor carrier to assist the UE for early termination</w:t>
      </w:r>
      <w:r w:rsidR="004A0A1A" w:rsidRPr="00A04F49">
        <w:t>.</w:t>
      </w:r>
      <w:r w:rsidR="004A0A1A">
        <w:t xml:space="preserve"> </w:t>
      </w:r>
      <w:r>
        <w:t>The signalling details can be further studied.</w:t>
      </w:r>
      <w:bookmarkEnd w:id="2"/>
      <w:r>
        <w:t xml:space="preserve"> </w:t>
      </w:r>
    </w:p>
    <w:p w14:paraId="0E4D7F1D" w14:textId="3A3D500C" w:rsidR="00D21782" w:rsidRDefault="004757BE" w:rsidP="00A04F49">
      <w:pPr>
        <w:pStyle w:val="BodyText"/>
        <w:rPr>
          <w:rFonts w:cs="Arial"/>
          <w:bCs/>
        </w:rPr>
      </w:pPr>
      <w:r>
        <w:rPr>
          <w:rFonts w:cs="Arial"/>
          <w:bCs/>
        </w:rPr>
        <w:t>During RAN1#94 discussions, some companies pointed out that the NRS should be always on in every subframe</w:t>
      </w:r>
      <w:r w:rsidR="00934171">
        <w:rPr>
          <w:rFonts w:cs="Arial"/>
          <w:bCs/>
        </w:rPr>
        <w:t xml:space="preserve"> </w:t>
      </w:r>
      <w:r w:rsidR="00934171">
        <w:rPr>
          <w:rFonts w:cs="Arial"/>
          <w:bCs/>
        </w:rPr>
        <w:fldChar w:fldCharType="begin"/>
      </w:r>
      <w:r w:rsidR="00934171">
        <w:rPr>
          <w:rFonts w:cs="Arial"/>
          <w:bCs/>
        </w:rPr>
        <w:instrText xml:space="preserve"> REF _Ref524696013 \r \h </w:instrText>
      </w:r>
      <w:r w:rsidR="00934171">
        <w:rPr>
          <w:rFonts w:cs="Arial"/>
          <w:bCs/>
        </w:rPr>
      </w:r>
      <w:r w:rsidR="00934171">
        <w:rPr>
          <w:rFonts w:cs="Arial"/>
          <w:bCs/>
        </w:rPr>
        <w:fldChar w:fldCharType="separate"/>
      </w:r>
      <w:r w:rsidR="00253436">
        <w:rPr>
          <w:rFonts w:cs="Arial"/>
          <w:bCs/>
        </w:rPr>
        <w:t>[3]</w:t>
      </w:r>
      <w:r w:rsidR="00934171">
        <w:rPr>
          <w:rFonts w:cs="Arial"/>
          <w:bCs/>
        </w:rPr>
        <w:fldChar w:fldCharType="end"/>
      </w:r>
      <w:r>
        <w:rPr>
          <w:rFonts w:cs="Arial"/>
          <w:bCs/>
        </w:rPr>
        <w:t xml:space="preserve">, or in subframes </w:t>
      </w:r>
      <w:r>
        <w:t>before PO and during the type1 search space</w:t>
      </w:r>
      <w:r w:rsidR="00934171">
        <w:t xml:space="preserve"> </w:t>
      </w:r>
      <w:r w:rsidR="00934171">
        <w:fldChar w:fldCharType="begin"/>
      </w:r>
      <w:r w:rsidR="00934171">
        <w:instrText xml:space="preserve"> REF _Ref524696023 \r \h </w:instrText>
      </w:r>
      <w:r w:rsidR="00934171">
        <w:fldChar w:fldCharType="separate"/>
      </w:r>
      <w:r w:rsidR="00253436">
        <w:t>[4]</w:t>
      </w:r>
      <w:r w:rsidR="00934171">
        <w:fldChar w:fldCharType="end"/>
      </w:r>
      <w:r w:rsidR="00934171">
        <w:fldChar w:fldCharType="begin"/>
      </w:r>
      <w:r w:rsidR="00934171">
        <w:instrText xml:space="preserve"> REF _Ref524696024 \r \h </w:instrText>
      </w:r>
      <w:r w:rsidR="00934171">
        <w:fldChar w:fldCharType="separate"/>
      </w:r>
      <w:r w:rsidR="00253436">
        <w:t>[5]</w:t>
      </w:r>
      <w:r w:rsidR="00934171">
        <w:fldChar w:fldCharType="end"/>
      </w:r>
      <w:r w:rsidR="00934171">
        <w:t>. In the sourcing company’</w:t>
      </w:r>
      <w:r w:rsidR="00F90806">
        <w:t>s view, such set ups are not necessary and may introduce unnecessary interference to the system. To be more specific, f</w:t>
      </w:r>
      <w:r w:rsidR="00D21782">
        <w:rPr>
          <w:rFonts w:cs="Arial"/>
          <w:bCs/>
        </w:rPr>
        <w:t xml:space="preserve">rom the results given in </w:t>
      </w:r>
      <w:r w:rsidR="00D21782">
        <w:rPr>
          <w:rFonts w:cs="Arial"/>
          <w:bCs/>
        </w:rPr>
        <w:fldChar w:fldCharType="begin"/>
      </w:r>
      <w:r w:rsidR="00D21782">
        <w:rPr>
          <w:rFonts w:cs="Arial"/>
          <w:bCs/>
        </w:rPr>
        <w:instrText xml:space="preserve"> REF _Ref520805932 \r \h </w:instrText>
      </w:r>
      <w:r w:rsidR="00D21782">
        <w:rPr>
          <w:rFonts w:cs="Arial"/>
          <w:bCs/>
        </w:rPr>
      </w:r>
      <w:r w:rsidR="00D21782">
        <w:rPr>
          <w:rFonts w:cs="Arial"/>
          <w:bCs/>
        </w:rPr>
        <w:fldChar w:fldCharType="separate"/>
      </w:r>
      <w:r w:rsidR="00253436">
        <w:rPr>
          <w:rFonts w:cs="Arial"/>
          <w:bCs/>
        </w:rPr>
        <w:t>[2]</w:t>
      </w:r>
      <w:r w:rsidR="00D21782">
        <w:rPr>
          <w:rFonts w:cs="Arial"/>
          <w:bCs/>
        </w:rPr>
        <w:fldChar w:fldCharType="end"/>
      </w:r>
      <w:r w:rsidR="00D21782">
        <w:rPr>
          <w:rFonts w:cs="Arial"/>
          <w:bCs/>
        </w:rPr>
        <w:t xml:space="preserve"> we can observe that the significant energy saving for early termination only occurs when the UE is in good coverage and when </w:t>
      </w:r>
      <w:proofErr w:type="spellStart"/>
      <w:r w:rsidR="00D21782">
        <w:rPr>
          <w:rFonts w:cs="Arial"/>
          <w:bCs/>
        </w:rPr>
        <w:t>Rmax</w:t>
      </w:r>
      <w:proofErr w:type="spellEnd"/>
      <w:r w:rsidR="00D21782">
        <w:rPr>
          <w:rFonts w:cs="Arial"/>
          <w:bCs/>
        </w:rPr>
        <w:t xml:space="preserve"> is large. For UE in MCL larger than 154 dB, the gain is not so obvious. </w:t>
      </w:r>
    </w:p>
    <w:p w14:paraId="1EA9241B" w14:textId="67B601A9" w:rsidR="00D21782" w:rsidRPr="00CE0424" w:rsidRDefault="00F90806" w:rsidP="00D21782">
      <w:pPr>
        <w:pStyle w:val="Observation"/>
      </w:pPr>
      <w:bookmarkStart w:id="3" w:name="_Toc525921120"/>
      <w:r>
        <w:t>When the MCL is larger, little benefit of energy savings the UE is expected from e</w:t>
      </w:r>
      <w:r w:rsidR="00D21782">
        <w:t xml:space="preserve">arly termination </w:t>
      </w:r>
      <w:r>
        <w:t>of NPDCCH</w:t>
      </w:r>
      <w:r w:rsidR="00D21782">
        <w:t>.</w:t>
      </w:r>
      <w:bookmarkEnd w:id="3"/>
    </w:p>
    <w:p w14:paraId="2BB36B7A" w14:textId="3E341F94" w:rsidR="00D21782" w:rsidRDefault="00D21782" w:rsidP="00A04F49">
      <w:pPr>
        <w:pStyle w:val="BodyText"/>
        <w:rPr>
          <w:rFonts w:cs="Arial"/>
          <w:bCs/>
        </w:rPr>
      </w:pPr>
      <w:r>
        <w:rPr>
          <w:rFonts w:cs="Arial"/>
          <w:bCs/>
        </w:rPr>
        <w:t xml:space="preserve">Notice that, </w:t>
      </w:r>
      <w:r w:rsidR="004757BE">
        <w:rPr>
          <w:rFonts w:cs="Arial"/>
          <w:bCs/>
        </w:rPr>
        <w:t>for</w:t>
      </w:r>
      <w:r>
        <w:rPr>
          <w:rFonts w:cs="Arial"/>
          <w:bCs/>
        </w:rPr>
        <w:t xml:space="preserve"> the UE not to monitor paging until the configured </w:t>
      </w:r>
      <w:proofErr w:type="spellStart"/>
      <w:r>
        <w:rPr>
          <w:rFonts w:cs="Arial"/>
          <w:bCs/>
        </w:rPr>
        <w:t>Rmax</w:t>
      </w:r>
      <w:proofErr w:type="spellEnd"/>
      <w:r>
        <w:rPr>
          <w:rFonts w:cs="Arial"/>
          <w:bCs/>
        </w:rPr>
        <w:t xml:space="preserve"> on an NB-IoT carrier, in Rel15 WUS is specified. The UE only needs to monitor WUS</w:t>
      </w:r>
      <w:r w:rsidR="00D9522D">
        <w:rPr>
          <w:rFonts w:cs="Arial"/>
          <w:bCs/>
        </w:rPr>
        <w:t xml:space="preserve">, which is significant shorter than </w:t>
      </w:r>
      <w:proofErr w:type="spellStart"/>
      <w:r w:rsidR="00D9522D">
        <w:rPr>
          <w:rFonts w:cs="Arial"/>
          <w:bCs/>
        </w:rPr>
        <w:t>Rmax</w:t>
      </w:r>
      <w:proofErr w:type="spellEnd"/>
      <w:r w:rsidR="00D9522D">
        <w:rPr>
          <w:rFonts w:cs="Arial"/>
          <w:bCs/>
        </w:rPr>
        <w:t>,</w:t>
      </w:r>
      <w:r>
        <w:rPr>
          <w:rFonts w:cs="Arial"/>
          <w:bCs/>
        </w:rPr>
        <w:t xml:space="preserve"> to determine whether it needs to monitor the subsequent paging or not. This can already achieve significant energy saving at the UE. </w:t>
      </w:r>
    </w:p>
    <w:p w14:paraId="4541AEFF" w14:textId="4946CC5F" w:rsidR="00D9522D" w:rsidRDefault="00D21782" w:rsidP="00A04F49">
      <w:pPr>
        <w:pStyle w:val="BodyText"/>
        <w:rPr>
          <w:rFonts w:cs="Arial"/>
          <w:bCs/>
        </w:rPr>
      </w:pPr>
      <w:r>
        <w:rPr>
          <w:rFonts w:cs="Arial"/>
          <w:bCs/>
        </w:rPr>
        <w:t xml:space="preserve">Certainly, when WUS is not </w:t>
      </w:r>
      <w:r w:rsidR="00D9522D">
        <w:rPr>
          <w:rFonts w:cs="Arial"/>
          <w:bCs/>
        </w:rPr>
        <w:t>detected, the UE does not need to monitor NPDCCH for paging</w:t>
      </w:r>
      <w:r>
        <w:rPr>
          <w:rFonts w:cs="Arial"/>
          <w:bCs/>
        </w:rPr>
        <w:t xml:space="preserve">. </w:t>
      </w:r>
      <w:r w:rsidR="00D9522D">
        <w:rPr>
          <w:rFonts w:cs="Arial"/>
          <w:bCs/>
        </w:rPr>
        <w:t>E</w:t>
      </w:r>
      <w:r>
        <w:rPr>
          <w:rFonts w:cs="Arial"/>
          <w:bCs/>
        </w:rPr>
        <w:t xml:space="preserve">arly termination of WUS detection can also provide energy saving at the UE. As the purpose of transmitting NRS is to facilitate early termination of </w:t>
      </w:r>
      <w:r w:rsidR="004446A7">
        <w:rPr>
          <w:rFonts w:cs="Arial"/>
          <w:bCs/>
        </w:rPr>
        <w:t>WUS, the NRS should only be transmitted at the beginning portion of the WUS subframes to facilitate the UE to estimate the SINR</w:t>
      </w:r>
      <w:r w:rsidR="00D9522D">
        <w:rPr>
          <w:rFonts w:cs="Arial"/>
          <w:bCs/>
        </w:rPr>
        <w:t xml:space="preserve">. </w:t>
      </w:r>
      <w:r>
        <w:rPr>
          <w:rFonts w:cs="Arial"/>
          <w:bCs/>
        </w:rPr>
        <w:t xml:space="preserve"> </w:t>
      </w:r>
    </w:p>
    <w:p w14:paraId="7A271B14" w14:textId="241E25FF" w:rsidR="00D9522D" w:rsidRPr="00CE0424" w:rsidRDefault="00D9522D" w:rsidP="00D9522D">
      <w:pPr>
        <w:pStyle w:val="Observation"/>
      </w:pPr>
      <w:bookmarkStart w:id="4" w:name="_Toc525921121"/>
      <w:r>
        <w:t>Unless significant energy saving can be shown by WUS detection early termination, it is not necessary to introduce signalling support to indicate the presence of NRS on an NB-IoT carrier where WUS is configured.</w:t>
      </w:r>
      <w:bookmarkEnd w:id="4"/>
      <w:r>
        <w:t xml:space="preserve"> </w:t>
      </w:r>
    </w:p>
    <w:p w14:paraId="684DFAC7" w14:textId="4C8A16CD" w:rsidR="00214ECF" w:rsidRDefault="00D9522D" w:rsidP="00214ECF">
      <w:pPr>
        <w:pStyle w:val="BodyText"/>
        <w:rPr>
          <w:rFonts w:cs="Arial"/>
          <w:bCs/>
        </w:rPr>
      </w:pPr>
      <w:r>
        <w:rPr>
          <w:rFonts w:cs="Arial"/>
          <w:bCs/>
        </w:rPr>
        <w:t>W</w:t>
      </w:r>
      <w:r w:rsidR="004446A7">
        <w:rPr>
          <w:rFonts w:cs="Arial"/>
          <w:bCs/>
        </w:rPr>
        <w:t xml:space="preserve">hen WUS is not configured, i.e., the UE is configured to monitor NPDCCH for paging directly, the presence of NRS can help the UE to estimate the DL SINR and perform early termination of NPDCCH decoding to save energy. </w:t>
      </w:r>
    </w:p>
    <w:p w14:paraId="68999EC5" w14:textId="77777777" w:rsidR="00214ECF" w:rsidRDefault="00214ECF" w:rsidP="00214ECF">
      <w:pPr>
        <w:pStyle w:val="BodyText"/>
        <w:rPr>
          <w:rFonts w:cs="Arial"/>
          <w:bCs/>
        </w:rPr>
      </w:pPr>
    </w:p>
    <w:p w14:paraId="129AA2A0" w14:textId="3F95DE18" w:rsidR="00214ECF" w:rsidRDefault="00214ECF" w:rsidP="00214ECF">
      <w:pPr>
        <w:pStyle w:val="BodyText"/>
        <w:keepNext/>
        <w:jc w:val="center"/>
      </w:pPr>
      <w:r>
        <w:rPr>
          <w:noProof/>
        </w:rPr>
        <w:drawing>
          <wp:inline distT="0" distB="0" distL="0" distR="0" wp14:anchorId="73760E84" wp14:editId="7EF65F4A">
            <wp:extent cx="3421308" cy="28800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NR8sf.png"/>
                    <pic:cNvPicPr/>
                  </pic:nvPicPr>
                  <pic:blipFill rotWithShape="1">
                    <a:blip r:embed="rId8">
                      <a:extLst>
                        <a:ext uri="{28A0092B-C50C-407E-A947-70E740481C1C}">
                          <a14:useLocalDpi xmlns:a14="http://schemas.microsoft.com/office/drawing/2010/main" val="0"/>
                        </a:ext>
                      </a:extLst>
                    </a:blip>
                    <a:srcRect l="3464" r="7819"/>
                    <a:stretch/>
                  </pic:blipFill>
                  <pic:spPr bwMode="auto">
                    <a:xfrm>
                      <a:off x="0" y="0"/>
                      <a:ext cx="3421308" cy="2880000"/>
                    </a:xfrm>
                    <a:prstGeom prst="rect">
                      <a:avLst/>
                    </a:prstGeom>
                    <a:ln>
                      <a:noFill/>
                    </a:ln>
                    <a:extLst>
                      <a:ext uri="{53640926-AAD7-44D8-BBD7-CCE9431645EC}">
                        <a14:shadowObscured xmlns:a14="http://schemas.microsoft.com/office/drawing/2010/main"/>
                      </a:ext>
                    </a:extLst>
                  </pic:spPr>
                </pic:pic>
              </a:graphicData>
            </a:graphic>
          </wp:inline>
        </w:drawing>
      </w:r>
    </w:p>
    <w:p w14:paraId="515D910A" w14:textId="2D18A6AC" w:rsidR="00214ECF" w:rsidRPr="00F90806" w:rsidRDefault="00214ECF" w:rsidP="00214ECF">
      <w:pPr>
        <w:pStyle w:val="Caption"/>
        <w:jc w:val="center"/>
      </w:pPr>
      <w:bookmarkStart w:id="5" w:name="_Ref524696547"/>
      <w:r w:rsidRPr="00F90806">
        <w:t xml:space="preserve">Figure </w:t>
      </w:r>
      <w:fldSimple w:instr=" SEQ Figure \* ARABIC ">
        <w:r w:rsidR="00253436">
          <w:rPr>
            <w:noProof/>
          </w:rPr>
          <w:t>1</w:t>
        </w:r>
      </w:fldSimple>
      <w:bookmarkEnd w:id="5"/>
      <w:r w:rsidRPr="00F90806">
        <w:t xml:space="preserve"> SINR estimation accuracy by using 8 subframes</w:t>
      </w:r>
    </w:p>
    <w:p w14:paraId="0D922053" w14:textId="6796AC40" w:rsidR="00214ECF" w:rsidRDefault="00021247" w:rsidP="00214ECF">
      <w:pPr>
        <w:pStyle w:val="BodyText"/>
        <w:keepNext/>
        <w:jc w:val="center"/>
      </w:pPr>
      <w:r>
        <w:rPr>
          <w:noProof/>
        </w:rPr>
        <w:lastRenderedPageBreak/>
        <w:drawing>
          <wp:inline distT="0" distB="0" distL="0" distR="0" wp14:anchorId="1A5B0EF6" wp14:editId="684C8532">
            <wp:extent cx="3472668" cy="28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NR16sf.png"/>
                    <pic:cNvPicPr/>
                  </pic:nvPicPr>
                  <pic:blipFill rotWithShape="1">
                    <a:blip r:embed="rId9">
                      <a:extLst>
                        <a:ext uri="{28A0092B-C50C-407E-A947-70E740481C1C}">
                          <a14:useLocalDpi xmlns:a14="http://schemas.microsoft.com/office/drawing/2010/main" val="0"/>
                        </a:ext>
                      </a:extLst>
                    </a:blip>
                    <a:srcRect l="4263" r="5688"/>
                    <a:stretch/>
                  </pic:blipFill>
                  <pic:spPr bwMode="auto">
                    <a:xfrm>
                      <a:off x="0" y="0"/>
                      <a:ext cx="3472668" cy="2880000"/>
                    </a:xfrm>
                    <a:prstGeom prst="rect">
                      <a:avLst/>
                    </a:prstGeom>
                    <a:ln>
                      <a:noFill/>
                    </a:ln>
                    <a:extLst>
                      <a:ext uri="{53640926-AAD7-44D8-BBD7-CCE9431645EC}">
                        <a14:shadowObscured xmlns:a14="http://schemas.microsoft.com/office/drawing/2010/main"/>
                      </a:ext>
                    </a:extLst>
                  </pic:spPr>
                </pic:pic>
              </a:graphicData>
            </a:graphic>
          </wp:inline>
        </w:drawing>
      </w:r>
    </w:p>
    <w:p w14:paraId="39EED503" w14:textId="59B73FDA" w:rsidR="00214ECF" w:rsidRDefault="00214ECF" w:rsidP="00214ECF">
      <w:pPr>
        <w:pStyle w:val="Caption"/>
        <w:jc w:val="center"/>
        <w:rPr>
          <w:rFonts w:cs="Arial"/>
          <w:bCs/>
        </w:rPr>
      </w:pPr>
      <w:bookmarkStart w:id="6" w:name="_Ref524696549"/>
      <w:r>
        <w:t xml:space="preserve">Figure </w:t>
      </w:r>
      <w:fldSimple w:instr=" SEQ Figure \* ARABIC ">
        <w:r w:rsidR="00253436">
          <w:rPr>
            <w:noProof/>
          </w:rPr>
          <w:t>2</w:t>
        </w:r>
      </w:fldSimple>
      <w:bookmarkEnd w:id="6"/>
      <w:r w:rsidR="00F61654">
        <w:t xml:space="preserve"> </w:t>
      </w:r>
      <w:r w:rsidRPr="006A0DD6">
        <w:t>SINR esti</w:t>
      </w:r>
      <w:r>
        <w:t>mation accuracy by using 1</w:t>
      </w:r>
      <w:r w:rsidRPr="006A0DD6">
        <w:t>6 subframes</w:t>
      </w:r>
    </w:p>
    <w:p w14:paraId="798B2F71" w14:textId="6743C687" w:rsidR="00E723E1" w:rsidRDefault="00F90806" w:rsidP="00E723E1">
      <w:pPr>
        <w:pStyle w:val="BodyText"/>
        <w:rPr>
          <w:rFonts w:cs="Arial"/>
          <w:bCs/>
        </w:rPr>
      </w:pPr>
      <w:r>
        <w:rPr>
          <w:rFonts w:cs="Arial"/>
          <w:bCs/>
        </w:rPr>
        <w:t xml:space="preserve">Since power saving is only expected for UE in good coverage, it is expected that only a small amount of NB-IoT DL subframes are needed by the UE to estimate the SINR when paging is not transmitted. </w:t>
      </w:r>
      <w:r>
        <w:rPr>
          <w:rFonts w:cs="Arial"/>
          <w:bCs/>
        </w:rPr>
        <w:fldChar w:fldCharType="begin"/>
      </w:r>
      <w:r>
        <w:rPr>
          <w:rFonts w:cs="Arial"/>
          <w:bCs/>
        </w:rPr>
        <w:instrText xml:space="preserve"> REF _Ref524696547 \h </w:instrText>
      </w:r>
      <w:r>
        <w:rPr>
          <w:rFonts w:cs="Arial"/>
          <w:bCs/>
        </w:rPr>
      </w:r>
      <w:r>
        <w:rPr>
          <w:rFonts w:cs="Arial"/>
          <w:bCs/>
        </w:rPr>
        <w:fldChar w:fldCharType="separate"/>
      </w:r>
      <w:r w:rsidR="00253436" w:rsidRPr="00F90806">
        <w:t xml:space="preserve">Figure </w:t>
      </w:r>
      <w:r w:rsidR="00253436">
        <w:rPr>
          <w:noProof/>
        </w:rPr>
        <w:t>1</w:t>
      </w:r>
      <w:r>
        <w:rPr>
          <w:rFonts w:cs="Arial"/>
          <w:bCs/>
        </w:rPr>
        <w:fldChar w:fldCharType="end"/>
      </w:r>
      <w:r>
        <w:rPr>
          <w:rFonts w:cs="Arial"/>
          <w:bCs/>
        </w:rPr>
        <w:t xml:space="preserve"> and </w:t>
      </w:r>
      <w:r>
        <w:rPr>
          <w:rFonts w:cs="Arial"/>
          <w:bCs/>
        </w:rPr>
        <w:fldChar w:fldCharType="begin"/>
      </w:r>
      <w:r>
        <w:rPr>
          <w:rFonts w:cs="Arial"/>
          <w:bCs/>
        </w:rPr>
        <w:instrText xml:space="preserve"> REF _Ref524696549 \h </w:instrText>
      </w:r>
      <w:r>
        <w:rPr>
          <w:rFonts w:cs="Arial"/>
          <w:bCs/>
        </w:rPr>
      </w:r>
      <w:r>
        <w:rPr>
          <w:rFonts w:cs="Arial"/>
          <w:bCs/>
        </w:rPr>
        <w:fldChar w:fldCharType="separate"/>
      </w:r>
      <w:r w:rsidR="00253436">
        <w:t xml:space="preserve">Figure </w:t>
      </w:r>
      <w:r w:rsidR="00253436">
        <w:rPr>
          <w:noProof/>
        </w:rPr>
        <w:t>2</w:t>
      </w:r>
      <w:r>
        <w:rPr>
          <w:rFonts w:cs="Arial"/>
          <w:bCs/>
        </w:rPr>
        <w:fldChar w:fldCharType="end"/>
      </w:r>
      <w:r>
        <w:rPr>
          <w:rFonts w:cs="Arial"/>
          <w:bCs/>
        </w:rPr>
        <w:t xml:space="preserve"> showed the SINR estimation accuracy by using 8 and 16 subframes</w:t>
      </w:r>
      <w:r w:rsidR="009F3C6D">
        <w:rPr>
          <w:rFonts w:cs="Arial"/>
          <w:bCs/>
        </w:rPr>
        <w:t xml:space="preserve"> in AWGN channel with 2 NRS ports</w:t>
      </w:r>
      <w:r>
        <w:rPr>
          <w:rFonts w:cs="Arial"/>
          <w:bCs/>
        </w:rPr>
        <w:t xml:space="preserve">, respectively. </w:t>
      </w:r>
      <w:r w:rsidR="00E855D9">
        <w:rPr>
          <w:rFonts w:cs="Arial"/>
          <w:bCs/>
        </w:rPr>
        <w:t xml:space="preserve">More results can be found in </w:t>
      </w:r>
      <w:r w:rsidR="00E855D9">
        <w:rPr>
          <w:rFonts w:cs="Arial"/>
          <w:bCs/>
        </w:rPr>
        <w:fldChar w:fldCharType="begin"/>
      </w:r>
      <w:r w:rsidR="00E855D9">
        <w:rPr>
          <w:rFonts w:cs="Arial"/>
          <w:bCs/>
        </w:rPr>
        <w:instrText xml:space="preserve"> REF _Ref525299086 \r \h </w:instrText>
      </w:r>
      <w:r w:rsidR="00E855D9">
        <w:rPr>
          <w:rFonts w:cs="Arial"/>
          <w:bCs/>
        </w:rPr>
      </w:r>
      <w:r w:rsidR="00E855D9">
        <w:rPr>
          <w:rFonts w:cs="Arial"/>
          <w:bCs/>
        </w:rPr>
        <w:fldChar w:fldCharType="separate"/>
      </w:r>
      <w:r w:rsidR="00253436">
        <w:rPr>
          <w:rFonts w:cs="Arial"/>
          <w:bCs/>
        </w:rPr>
        <w:t>[6]</w:t>
      </w:r>
      <w:r w:rsidR="00E855D9">
        <w:rPr>
          <w:rFonts w:cs="Arial"/>
          <w:bCs/>
        </w:rPr>
        <w:fldChar w:fldCharType="end"/>
      </w:r>
      <w:r w:rsidR="00E855D9">
        <w:rPr>
          <w:rFonts w:cs="Arial"/>
          <w:bCs/>
        </w:rPr>
        <w:t xml:space="preserve">. </w:t>
      </w:r>
      <w:r>
        <w:rPr>
          <w:rFonts w:cs="Arial"/>
          <w:bCs/>
        </w:rPr>
        <w:t xml:space="preserve">From the results we can see that, in the interested SINR range where the UEs are expecting the most energy gains, 8 subframes are enough for the UE to reliably estimate the SINR. </w:t>
      </w:r>
      <w:r w:rsidR="00E723E1">
        <w:rPr>
          <w:rFonts w:cs="Arial"/>
          <w:bCs/>
        </w:rPr>
        <w:t xml:space="preserve">However, the difficulty is that the requirement of WUS detection is not finalized in RAN4, and early termination performance of NPDCCH highly depends on UE implementation. Therefore, without RAN4 input, it is difficult for RAN1 to determine how long the NRS should be transmitted. </w:t>
      </w:r>
      <w:r w:rsidR="007D0C1D">
        <w:rPr>
          <w:rFonts w:cs="Arial"/>
          <w:bCs/>
        </w:rPr>
        <w:t xml:space="preserve">Furthermore, the current reliability requirement for paging miss detection is 1%, the early termination of WUS and/or NPDCCH decoding should not impact the paging reliability. Otherwise, there is a risk the network would lost contact with the UE, and it may take a significant time for this to recover, especially for the UEs configured with long eDRX cycles. </w:t>
      </w:r>
      <w:r w:rsidR="00E723E1">
        <w:rPr>
          <w:rFonts w:cs="Arial"/>
          <w:bCs/>
        </w:rPr>
        <w:t>Moreover, as it is expected this feature only gives</w:t>
      </w:r>
      <w:r w:rsidR="00FE2305">
        <w:rPr>
          <w:rFonts w:cs="Arial"/>
          <w:bCs/>
        </w:rPr>
        <w:t xml:space="preserve"> obvious</w:t>
      </w:r>
      <w:r w:rsidR="00E723E1">
        <w:rPr>
          <w:rFonts w:cs="Arial"/>
          <w:bCs/>
        </w:rPr>
        <w:t xml:space="preserve"> gain in good SINR, it is reasonable to only ask RAN4 to study a preferred SINR range. For </w:t>
      </w:r>
      <w:proofErr w:type="spellStart"/>
      <w:r w:rsidR="00E723E1">
        <w:rPr>
          <w:rFonts w:cs="Arial"/>
          <w:bCs/>
        </w:rPr>
        <w:t>inband</w:t>
      </w:r>
      <w:proofErr w:type="spellEnd"/>
      <w:r w:rsidR="00E723E1">
        <w:rPr>
          <w:rFonts w:cs="Arial"/>
          <w:bCs/>
        </w:rPr>
        <w:t xml:space="preserve"> operation</w:t>
      </w:r>
      <w:r w:rsidR="00105BDA">
        <w:rPr>
          <w:rFonts w:cs="Arial"/>
          <w:bCs/>
        </w:rPr>
        <w:t xml:space="preserve"> without power boosting</w:t>
      </w:r>
      <w:r w:rsidR="00E723E1">
        <w:rPr>
          <w:rFonts w:cs="Arial"/>
          <w:bCs/>
        </w:rPr>
        <w:t xml:space="preserve">, around </w:t>
      </w:r>
      <w:r w:rsidR="00105BDA">
        <w:rPr>
          <w:rFonts w:cs="Arial"/>
          <w:bCs/>
        </w:rPr>
        <w:t>1</w:t>
      </w:r>
      <w:r w:rsidR="00E723E1">
        <w:rPr>
          <w:rFonts w:cs="Arial"/>
          <w:bCs/>
        </w:rPr>
        <w:t xml:space="preserve"> dB SINR is expected at 144 dB MCL. </w:t>
      </w:r>
      <w:r w:rsidR="00214ECF">
        <w:rPr>
          <w:rFonts w:cs="Arial"/>
          <w:bCs/>
        </w:rPr>
        <w:t xml:space="preserve">Base on the RAN4 input, RAN1 can further evaluate and design the proper presence of NRSs. </w:t>
      </w:r>
      <w:r w:rsidR="00E723E1">
        <w:rPr>
          <w:rFonts w:cs="Arial"/>
          <w:bCs/>
        </w:rPr>
        <w:t xml:space="preserve">Therefore, it is proposed that </w:t>
      </w:r>
    </w:p>
    <w:p w14:paraId="6BA80985" w14:textId="227E2ECE" w:rsidR="00E723E1" w:rsidRDefault="00E723E1" w:rsidP="00E723E1">
      <w:pPr>
        <w:pStyle w:val="Proposal"/>
      </w:pPr>
      <w:bookmarkStart w:id="7" w:name="_Toc525921126"/>
      <w:r>
        <w:t>Send LS to RAN4 and ask for input of how long the NRS should be transmitted for the UE to perform SINR estimation for reliable early termination of WUS and NPDCCH</w:t>
      </w:r>
      <w:r w:rsidR="007D0C1D">
        <w:t>, i.e., the current reliably of the paging should not be degraded,</w:t>
      </w:r>
      <w:r>
        <w:t xml:space="preserve"> in the range that SINR is larger than </w:t>
      </w:r>
      <w:r w:rsidR="00122BDE">
        <w:t>1</w:t>
      </w:r>
      <w:r>
        <w:t xml:space="preserve"> dB</w:t>
      </w:r>
      <w:r w:rsidRPr="00A04F49">
        <w:t>.</w:t>
      </w:r>
      <w:bookmarkEnd w:id="7"/>
      <w:r>
        <w:t xml:space="preserve"> </w:t>
      </w:r>
    </w:p>
    <w:p w14:paraId="29763398" w14:textId="3AD0CC04" w:rsidR="00F90806" w:rsidRDefault="00214ECF" w:rsidP="00F90806">
      <w:pPr>
        <w:pStyle w:val="BodyText"/>
        <w:rPr>
          <w:rFonts w:cs="Arial"/>
          <w:bCs/>
        </w:rPr>
      </w:pPr>
      <w:r>
        <w:rPr>
          <w:rFonts w:cs="Arial"/>
          <w:bCs/>
        </w:rPr>
        <w:t>Recall that if paging is sent on the non-anchor carrier, the NRSs present in 10 NB-IoT DL subframes prior the NPDCCH scrambled by P-RNTI and 4 NB-IoT DL subframes after the NPDCCH. The 10 NB-IoT DL subframes prior the NPDCCH is for the UE to warm up, perform measurements, and used for cross-subframe channel estimation.</w:t>
      </w:r>
      <w:r w:rsidR="00122BDE">
        <w:rPr>
          <w:rFonts w:cs="Arial"/>
          <w:bCs/>
        </w:rPr>
        <w:t xml:space="preserve"> The 10 NB-IoT DL subframe is more than enough </w:t>
      </w:r>
      <w:r w:rsidR="00122BDE">
        <w:t>to facilitate UE in normal coverage to estimate the SINR, and it may also facilitate the UE in extended coverage</w:t>
      </w:r>
      <w:r w:rsidR="00122BDE" w:rsidRPr="00122BDE">
        <w:t xml:space="preserve"> </w:t>
      </w:r>
      <w:r w:rsidR="00122BDE">
        <w:t xml:space="preserve">to estimate the SINR. Therefore, </w:t>
      </w:r>
      <w:r w:rsidR="00F90806">
        <w:rPr>
          <w:rFonts w:cs="Arial"/>
          <w:bCs/>
        </w:rPr>
        <w:t xml:space="preserve">at most 10 NB-IoT DL subframes prior the NPDCCH search space should be transmitted for the UE to estimate the SINR when paging is not transmitted. If 10 NB-IoT DL subframes are not enough, as the purpose is to facilitate early termination, the additional NRS should only be transmitted at the beginning portion of the NPDCCH search space. </w:t>
      </w:r>
    </w:p>
    <w:p w14:paraId="36A6224A" w14:textId="77777777" w:rsidR="00F90806" w:rsidRPr="001F22FA" w:rsidRDefault="00F90806" w:rsidP="00F90806">
      <w:pPr>
        <w:pStyle w:val="Observation"/>
        <w:rPr>
          <w:rFonts w:cs="Arial"/>
        </w:rPr>
      </w:pPr>
      <w:bookmarkStart w:id="8" w:name="_Toc521061969"/>
      <w:bookmarkStart w:id="9" w:name="_Toc525921122"/>
      <w:bookmarkEnd w:id="8"/>
      <w:r>
        <w:t xml:space="preserve">When WUS is not configured, at most 10 NB-IoT DL subframes prior the NPDCCH search space should be transmitted for the UE to perform SINR estimation for early termination. If 10 NB-IoT DL subframes are not enough, additional NRSs should only be </w:t>
      </w:r>
      <w:r w:rsidRPr="00F149BD">
        <w:rPr>
          <w:rFonts w:cs="Arial"/>
          <w:bCs w:val="0"/>
        </w:rPr>
        <w:t>transmitted at the beginning portion</w:t>
      </w:r>
      <w:r>
        <w:rPr>
          <w:rFonts w:cs="Arial"/>
          <w:bCs w:val="0"/>
        </w:rPr>
        <w:t xml:space="preserve">, which should be signification smaller than </w:t>
      </w:r>
      <w:proofErr w:type="spellStart"/>
      <w:r>
        <w:rPr>
          <w:rFonts w:cs="Arial"/>
          <w:bCs w:val="0"/>
        </w:rPr>
        <w:t>Rmax</w:t>
      </w:r>
      <w:proofErr w:type="spellEnd"/>
      <w:r>
        <w:rPr>
          <w:rFonts w:cs="Arial"/>
          <w:bCs w:val="0"/>
        </w:rPr>
        <w:t>,</w:t>
      </w:r>
      <w:r w:rsidRPr="00F149BD">
        <w:rPr>
          <w:rFonts w:cs="Arial"/>
          <w:bCs w:val="0"/>
        </w:rPr>
        <w:t xml:space="preserve"> of </w:t>
      </w:r>
      <w:r w:rsidRPr="004946CD">
        <w:rPr>
          <w:rFonts w:cs="Arial"/>
          <w:bCs w:val="0"/>
        </w:rPr>
        <w:t>the NPDCCH search space</w:t>
      </w:r>
      <w:r w:rsidRPr="00F149BD">
        <w:rPr>
          <w:rFonts w:cs="Arial"/>
          <w:bCs w:val="0"/>
        </w:rPr>
        <w:t xml:space="preserve"> to facilitate the UE to estimate the SINR. Otherwise, the UE can simply monitor the entire configured NPDCCH search space.</w:t>
      </w:r>
      <w:bookmarkEnd w:id="9"/>
      <w:r w:rsidRPr="00F149BD">
        <w:rPr>
          <w:rFonts w:cs="Arial"/>
          <w:bCs w:val="0"/>
        </w:rPr>
        <w:t xml:space="preserve"> </w:t>
      </w:r>
    </w:p>
    <w:p w14:paraId="1E7E4315" w14:textId="77777777" w:rsidR="00F90806" w:rsidRPr="004946CD" w:rsidRDefault="00F90806" w:rsidP="00F90806">
      <w:pPr>
        <w:pStyle w:val="Observation"/>
        <w:rPr>
          <w:rFonts w:cs="Arial"/>
        </w:rPr>
      </w:pPr>
      <w:bookmarkStart w:id="10" w:name="_Toc525921123"/>
      <w:r>
        <w:rPr>
          <w:rFonts w:cs="Arial"/>
          <w:bCs w:val="0"/>
        </w:rPr>
        <w:t>The additional NRSs on the non-anchor carriers are not expected to be used for other purposes, e.g., idle mode mobility measurement for cell selection or reselection.</w:t>
      </w:r>
      <w:bookmarkEnd w:id="10"/>
      <w:r>
        <w:rPr>
          <w:rFonts w:cs="Arial"/>
          <w:bCs w:val="0"/>
        </w:rPr>
        <w:t xml:space="preserve"> </w:t>
      </w:r>
    </w:p>
    <w:p w14:paraId="3E6F80FF" w14:textId="3874956C" w:rsidR="00214ECF" w:rsidRDefault="00214ECF" w:rsidP="00F90806">
      <w:pPr>
        <w:pStyle w:val="BodyText"/>
        <w:rPr>
          <w:rFonts w:cs="Arial"/>
          <w:bCs/>
        </w:rPr>
      </w:pPr>
      <w:r>
        <w:rPr>
          <w:rFonts w:cs="Arial"/>
          <w:bCs/>
        </w:rPr>
        <w:lastRenderedPageBreak/>
        <w:t xml:space="preserve">Notice that these subframes are only for UE to estimate the SINR that facilities the early termination. They are not expected to be used for other purposes, e.g., idle mode mobility measurement for cell selection or reselection. Currently, the mobility related measurements are done on the anchor carrier, and an NB-IoT UE is required to measure twice per DRX cycle. This is motivated that both RSRP and RSRQ need to be measured for cell selection/reselection, and usually anchor carrier has better coverage, and the neighbouring cells are usually having the same frequency for anchor carriers. Measurement done on the anchor carriers can be expected more reliable than on the non-anchor carriers. </w:t>
      </w:r>
    </w:p>
    <w:p w14:paraId="71209C47" w14:textId="3E77D51F" w:rsidR="00F90806" w:rsidRDefault="00F90806" w:rsidP="00F90806">
      <w:pPr>
        <w:pStyle w:val="BodyText"/>
        <w:rPr>
          <w:rFonts w:cs="Arial"/>
          <w:bCs/>
        </w:rPr>
      </w:pPr>
      <w:r>
        <w:rPr>
          <w:rFonts w:cs="Arial"/>
          <w:bCs/>
        </w:rPr>
        <w:t xml:space="preserve">For the </w:t>
      </w:r>
      <w:proofErr w:type="spellStart"/>
      <w:r>
        <w:rPr>
          <w:rFonts w:cs="Arial"/>
          <w:bCs/>
        </w:rPr>
        <w:t>inband</w:t>
      </w:r>
      <w:proofErr w:type="spellEnd"/>
      <w:r>
        <w:rPr>
          <w:rFonts w:cs="Arial"/>
          <w:bCs/>
        </w:rPr>
        <w:t xml:space="preserve"> deployment, in some cases, in order not to fragment the LTE resource allocation, the non-anchor carrier can be placed next to the anchor carrier. As the NRSs are always transmitted on the anchor carrier, and the power difference between anchor and non-anchor is known, the UE can apply the SINR estimation from the anchor carrier to the non-anchor carrier. Certainly, it is still preferable to have some NRSs on the non-anchor carrier to verify the SINR estimation, but much less NRSs are needed. Therefore, if this is the case, the eNB can configure to send NRSs associating to every L NPDCCH search spaces. </w:t>
      </w:r>
    </w:p>
    <w:p w14:paraId="28925934" w14:textId="1B272FD4" w:rsidR="00B9645A" w:rsidRPr="00B9645A" w:rsidRDefault="00B9645A" w:rsidP="00B9645A">
      <w:pPr>
        <w:pStyle w:val="Observation"/>
        <w:rPr>
          <w:rFonts w:cs="Arial"/>
        </w:rPr>
      </w:pPr>
      <w:bookmarkStart w:id="11" w:name="_Toc525921124"/>
      <w:r>
        <w:rPr>
          <w:rFonts w:cs="Arial"/>
          <w:bCs w:val="0"/>
        </w:rPr>
        <w:t xml:space="preserve">In some </w:t>
      </w:r>
      <w:r w:rsidR="00250314">
        <w:rPr>
          <w:rFonts w:cs="Arial"/>
          <w:bCs w:val="0"/>
        </w:rPr>
        <w:t>cases</w:t>
      </w:r>
      <w:r>
        <w:rPr>
          <w:rFonts w:cs="Arial"/>
          <w:bCs w:val="0"/>
        </w:rPr>
        <w:t>, much less NRSs density can be expected, i.e., NRSs can be associated to every L NPDCCH search spaces.</w:t>
      </w:r>
      <w:bookmarkEnd w:id="11"/>
      <w:r>
        <w:rPr>
          <w:rFonts w:cs="Arial"/>
          <w:bCs w:val="0"/>
        </w:rPr>
        <w:t xml:space="preserve"> </w:t>
      </w: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03631B6" w14:textId="28C7651C" w:rsidR="00253436"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25921120" w:history="1">
        <w:r w:rsidR="00253436" w:rsidRPr="002602E8">
          <w:rPr>
            <w:rStyle w:val="Hyperlink"/>
            <w:noProof/>
          </w:rPr>
          <w:t>Observation 1</w:t>
        </w:r>
        <w:r w:rsidR="00253436">
          <w:rPr>
            <w:rFonts w:asciiTheme="minorHAnsi" w:eastAsiaTheme="minorEastAsia" w:hAnsiTheme="minorHAnsi" w:cstheme="minorBidi"/>
            <w:b w:val="0"/>
            <w:noProof/>
            <w:sz w:val="22"/>
            <w:szCs w:val="22"/>
            <w:lang w:val="sv-SE"/>
          </w:rPr>
          <w:tab/>
        </w:r>
        <w:r w:rsidR="00253436" w:rsidRPr="002602E8">
          <w:rPr>
            <w:rStyle w:val="Hyperlink"/>
            <w:noProof/>
          </w:rPr>
          <w:t>When the MCL is larger, little benefit of energy savings the UE is expected from early termination of NPDCCH.</w:t>
        </w:r>
      </w:hyperlink>
    </w:p>
    <w:p w14:paraId="3A1DCEFC" w14:textId="08ADE13D" w:rsidR="00253436" w:rsidRDefault="00253436">
      <w:pPr>
        <w:pStyle w:val="TableofFigures"/>
        <w:tabs>
          <w:tab w:val="right" w:leader="dot" w:pos="9629"/>
        </w:tabs>
        <w:rPr>
          <w:rFonts w:asciiTheme="minorHAnsi" w:eastAsiaTheme="minorEastAsia" w:hAnsiTheme="minorHAnsi" w:cstheme="minorBidi"/>
          <w:b w:val="0"/>
          <w:noProof/>
          <w:sz w:val="22"/>
          <w:szCs w:val="22"/>
          <w:lang w:val="sv-SE"/>
        </w:rPr>
      </w:pPr>
      <w:hyperlink w:anchor="_Toc525921121" w:history="1">
        <w:r w:rsidRPr="002602E8">
          <w:rPr>
            <w:rStyle w:val="Hyperlink"/>
            <w:noProof/>
          </w:rPr>
          <w:t>Observation 2</w:t>
        </w:r>
        <w:r>
          <w:rPr>
            <w:rFonts w:asciiTheme="minorHAnsi" w:eastAsiaTheme="minorEastAsia" w:hAnsiTheme="minorHAnsi" w:cstheme="minorBidi"/>
            <w:b w:val="0"/>
            <w:noProof/>
            <w:sz w:val="22"/>
            <w:szCs w:val="22"/>
            <w:lang w:val="sv-SE"/>
          </w:rPr>
          <w:tab/>
        </w:r>
        <w:r w:rsidRPr="002602E8">
          <w:rPr>
            <w:rStyle w:val="Hyperlink"/>
            <w:noProof/>
          </w:rPr>
          <w:t>Unless significant energy saving can be shown by WUS detection early termination, it is not necessary to introduce signalling support to indicate the presence of NRS on an NB-IoT carrier where WUS is configured.</w:t>
        </w:r>
      </w:hyperlink>
    </w:p>
    <w:p w14:paraId="249A7869" w14:textId="3D2593F5" w:rsidR="00253436" w:rsidRDefault="00253436">
      <w:pPr>
        <w:pStyle w:val="TableofFigures"/>
        <w:tabs>
          <w:tab w:val="right" w:leader="dot" w:pos="9629"/>
        </w:tabs>
        <w:rPr>
          <w:rFonts w:asciiTheme="minorHAnsi" w:eastAsiaTheme="minorEastAsia" w:hAnsiTheme="minorHAnsi" w:cstheme="minorBidi"/>
          <w:b w:val="0"/>
          <w:noProof/>
          <w:sz w:val="22"/>
          <w:szCs w:val="22"/>
          <w:lang w:val="sv-SE"/>
        </w:rPr>
      </w:pPr>
      <w:hyperlink w:anchor="_Toc525921122" w:history="1">
        <w:r w:rsidRPr="002602E8">
          <w:rPr>
            <w:rStyle w:val="Hyperlink"/>
            <w:rFonts w:cs="Arial"/>
            <w:noProof/>
          </w:rPr>
          <w:t>Observation 3</w:t>
        </w:r>
        <w:r>
          <w:rPr>
            <w:rFonts w:asciiTheme="minorHAnsi" w:eastAsiaTheme="minorEastAsia" w:hAnsiTheme="minorHAnsi" w:cstheme="minorBidi"/>
            <w:b w:val="0"/>
            <w:noProof/>
            <w:sz w:val="22"/>
            <w:szCs w:val="22"/>
            <w:lang w:val="sv-SE"/>
          </w:rPr>
          <w:tab/>
        </w:r>
        <w:r w:rsidRPr="002602E8">
          <w:rPr>
            <w:rStyle w:val="Hyperlink"/>
            <w:noProof/>
          </w:rPr>
          <w:t xml:space="preserve">When WUS is not configured, at most 10 NB-IoT DL subframes prior the NPDCCH search space should be transmitted for the UE to perform SINR estimation for early termination. If 10 NB-IoT DL subframes are not enough, additional NRSs should only be </w:t>
        </w:r>
        <w:r w:rsidRPr="002602E8">
          <w:rPr>
            <w:rStyle w:val="Hyperlink"/>
            <w:rFonts w:cs="Arial"/>
            <w:noProof/>
          </w:rPr>
          <w:t>transmitted at the beginning portion, which should be signification smaller than Rmax, of the NPDCCH search space to facilitate the UE to estimate the SINR. Otherwise, the UE can simply monitor the entire configured NPDCCH search space.</w:t>
        </w:r>
      </w:hyperlink>
    </w:p>
    <w:p w14:paraId="550A145B" w14:textId="458D2005" w:rsidR="00253436" w:rsidRDefault="00253436">
      <w:pPr>
        <w:pStyle w:val="TableofFigures"/>
        <w:tabs>
          <w:tab w:val="right" w:leader="dot" w:pos="9629"/>
        </w:tabs>
        <w:rPr>
          <w:rFonts w:asciiTheme="minorHAnsi" w:eastAsiaTheme="minorEastAsia" w:hAnsiTheme="minorHAnsi" w:cstheme="minorBidi"/>
          <w:b w:val="0"/>
          <w:noProof/>
          <w:sz w:val="22"/>
          <w:szCs w:val="22"/>
          <w:lang w:val="sv-SE"/>
        </w:rPr>
      </w:pPr>
      <w:hyperlink w:anchor="_Toc525921123" w:history="1">
        <w:r w:rsidRPr="002602E8">
          <w:rPr>
            <w:rStyle w:val="Hyperlink"/>
            <w:rFonts w:cs="Arial"/>
            <w:noProof/>
          </w:rPr>
          <w:t>Observation 4</w:t>
        </w:r>
        <w:r>
          <w:rPr>
            <w:rFonts w:asciiTheme="minorHAnsi" w:eastAsiaTheme="minorEastAsia" w:hAnsiTheme="minorHAnsi" w:cstheme="minorBidi"/>
            <w:b w:val="0"/>
            <w:noProof/>
            <w:sz w:val="22"/>
            <w:szCs w:val="22"/>
            <w:lang w:val="sv-SE"/>
          </w:rPr>
          <w:tab/>
        </w:r>
        <w:r w:rsidRPr="002602E8">
          <w:rPr>
            <w:rStyle w:val="Hyperlink"/>
            <w:rFonts w:cs="Arial"/>
            <w:noProof/>
          </w:rPr>
          <w:t>The additional NRSs on the non-anchor carriers are not expected to be used for other purposes, e.g., idle mode mobility measurement for cell selection or reselection.</w:t>
        </w:r>
      </w:hyperlink>
    </w:p>
    <w:p w14:paraId="7EBBDA72" w14:textId="1ECAC442" w:rsidR="00253436" w:rsidRDefault="00253436">
      <w:pPr>
        <w:pStyle w:val="TableofFigures"/>
        <w:tabs>
          <w:tab w:val="right" w:leader="dot" w:pos="9629"/>
        </w:tabs>
        <w:rPr>
          <w:rFonts w:asciiTheme="minorHAnsi" w:eastAsiaTheme="minorEastAsia" w:hAnsiTheme="minorHAnsi" w:cstheme="minorBidi"/>
          <w:b w:val="0"/>
          <w:noProof/>
          <w:sz w:val="22"/>
          <w:szCs w:val="22"/>
          <w:lang w:val="sv-SE"/>
        </w:rPr>
      </w:pPr>
      <w:hyperlink w:anchor="_Toc525921124" w:history="1">
        <w:r w:rsidRPr="002602E8">
          <w:rPr>
            <w:rStyle w:val="Hyperlink"/>
            <w:rFonts w:cs="Arial"/>
            <w:noProof/>
          </w:rPr>
          <w:t>Observation 5</w:t>
        </w:r>
        <w:r>
          <w:rPr>
            <w:rFonts w:asciiTheme="minorHAnsi" w:eastAsiaTheme="minorEastAsia" w:hAnsiTheme="minorHAnsi" w:cstheme="minorBidi"/>
            <w:b w:val="0"/>
            <w:noProof/>
            <w:sz w:val="22"/>
            <w:szCs w:val="22"/>
            <w:lang w:val="sv-SE"/>
          </w:rPr>
          <w:tab/>
        </w:r>
        <w:r w:rsidRPr="002602E8">
          <w:rPr>
            <w:rStyle w:val="Hyperlink"/>
            <w:rFonts w:cs="Arial"/>
            <w:noProof/>
          </w:rPr>
          <w:t>In some cases, much less NRSs density can be expected, i.e., NRSs can be associated to every L NPDCCH search spaces.</w:t>
        </w:r>
      </w:hyperlink>
    </w:p>
    <w:p w14:paraId="62D061AB" w14:textId="6D94CAD5" w:rsidR="006E1C82" w:rsidRDefault="006F6582" w:rsidP="00214ECF">
      <w:pPr>
        <w:pStyle w:val="TableofFigures"/>
        <w:tabs>
          <w:tab w:val="right" w:leader="dot" w:pos="9629"/>
        </w:tabs>
        <w:rPr>
          <w:b w:val="0"/>
          <w:bCs/>
        </w:rPr>
      </w:pPr>
      <w:r>
        <w:rPr>
          <w:b w:val="0"/>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A8F6025" w14:textId="6986BAF1" w:rsidR="00253436"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21125" w:history="1">
        <w:r w:rsidR="00253436" w:rsidRPr="00FB5FA0">
          <w:rPr>
            <w:rStyle w:val="Hyperlink"/>
            <w:rFonts w:cs="Arial"/>
            <w:noProof/>
          </w:rPr>
          <w:t>Proposal 1</w:t>
        </w:r>
        <w:r w:rsidR="00253436">
          <w:rPr>
            <w:rFonts w:asciiTheme="minorHAnsi" w:eastAsiaTheme="minorEastAsia" w:hAnsiTheme="minorHAnsi" w:cstheme="minorBidi"/>
            <w:b w:val="0"/>
            <w:noProof/>
            <w:sz w:val="22"/>
            <w:szCs w:val="22"/>
            <w:lang w:val="sv-SE"/>
          </w:rPr>
          <w:tab/>
        </w:r>
        <w:r w:rsidR="00253436" w:rsidRPr="00FB5FA0">
          <w:rPr>
            <w:rStyle w:val="Hyperlink"/>
            <w:noProof/>
          </w:rPr>
          <w:t>Information about UE supports early termination of NPDCCH/WUS should be made available at eNB, so the eNB can decide whether to turn on the NRS transmission on non-anchor carrier to assist the UE for early termination. The signalling details can be further studied.</w:t>
        </w:r>
      </w:hyperlink>
    </w:p>
    <w:p w14:paraId="7968529D" w14:textId="5B2A9629" w:rsidR="00253436" w:rsidRDefault="00253436">
      <w:pPr>
        <w:pStyle w:val="TableofFigures"/>
        <w:tabs>
          <w:tab w:val="right" w:leader="dot" w:pos="9629"/>
        </w:tabs>
        <w:rPr>
          <w:rFonts w:asciiTheme="minorHAnsi" w:eastAsiaTheme="minorEastAsia" w:hAnsiTheme="minorHAnsi" w:cstheme="minorBidi"/>
          <w:b w:val="0"/>
          <w:noProof/>
          <w:sz w:val="22"/>
          <w:szCs w:val="22"/>
          <w:lang w:val="sv-SE"/>
        </w:rPr>
      </w:pPr>
      <w:hyperlink w:anchor="_Toc525921126" w:history="1">
        <w:r w:rsidRPr="00FB5FA0">
          <w:rPr>
            <w:rStyle w:val="Hyperlink"/>
            <w:noProof/>
          </w:rPr>
          <w:t>Proposal 2</w:t>
        </w:r>
        <w:r>
          <w:rPr>
            <w:rFonts w:asciiTheme="minorHAnsi" w:eastAsiaTheme="minorEastAsia" w:hAnsiTheme="minorHAnsi" w:cstheme="minorBidi"/>
            <w:b w:val="0"/>
            <w:noProof/>
            <w:sz w:val="22"/>
            <w:szCs w:val="22"/>
            <w:lang w:val="sv-SE"/>
          </w:rPr>
          <w:tab/>
        </w:r>
        <w:r w:rsidRPr="00FB5FA0">
          <w:rPr>
            <w:rStyle w:val="Hyperlink"/>
            <w:noProof/>
          </w:rPr>
          <w:t>Send LS to RAN4 and ask for input of how long the NRS should be transmitted for the UE to perform SINR estimation for reliable early termination of WUS and NPDCCH, i.e., the current reliably of the paging should not be degraded, in the range that SINR is larger than 1 dB.</w:t>
        </w:r>
      </w:hyperlink>
    </w:p>
    <w:p w14:paraId="5A1EB9E8" w14:textId="666EFA90" w:rsidR="006E1C82" w:rsidRPr="00CE0424" w:rsidRDefault="006E1C82" w:rsidP="006E1C82">
      <w:pPr>
        <w:pStyle w:val="BodyText"/>
        <w:rPr>
          <w:b/>
          <w:bCs/>
        </w:rPr>
      </w:pPr>
      <w:r>
        <w:rPr>
          <w:b/>
          <w:bCs/>
          <w:lang w:val="en-US"/>
        </w:rPr>
        <w:fldChar w:fldCharType="end"/>
      </w:r>
      <w:r w:rsidRPr="00CE0424">
        <w:rPr>
          <w:b/>
          <w:bCs/>
        </w:rPr>
        <w:t xml:space="preserve"> </w:t>
      </w:r>
    </w:p>
    <w:p w14:paraId="3D2C92AC" w14:textId="77777777" w:rsidR="00C01F33" w:rsidRPr="00CE0424" w:rsidRDefault="00C01F33" w:rsidP="006E062C"/>
    <w:p w14:paraId="7203AEF7" w14:textId="77777777" w:rsidR="00F507D1" w:rsidRPr="00CE0424" w:rsidRDefault="00F507D1" w:rsidP="00CE0424">
      <w:pPr>
        <w:pStyle w:val="Heading1"/>
      </w:pPr>
      <w:bookmarkStart w:id="12" w:name="_In-sequence_SDU_delivery"/>
      <w:bookmarkEnd w:id="12"/>
      <w:r w:rsidRPr="00CE0424">
        <w:lastRenderedPageBreak/>
        <w:t>References</w:t>
      </w:r>
    </w:p>
    <w:p w14:paraId="125C3BCF" w14:textId="49E0A707" w:rsidR="005F3025" w:rsidRDefault="00251DCA" w:rsidP="00251DCA">
      <w:pPr>
        <w:pStyle w:val="Reference"/>
      </w:pPr>
      <w:bookmarkStart w:id="13" w:name="_Ref520716422"/>
      <w:bookmarkStart w:id="14" w:name="_Ref174151459"/>
      <w:bookmarkStart w:id="15" w:name="_Ref189809556"/>
      <w:r w:rsidRPr="00251DCA">
        <w:t>RP-181451</w:t>
      </w:r>
      <w:r w:rsidR="005F3025" w:rsidRPr="00CE0424">
        <w:t xml:space="preserve">, </w:t>
      </w:r>
      <w:r w:rsidRPr="00251DCA">
        <w:t>New WID on Rel-16 enhancements for NB-IoT</w:t>
      </w:r>
      <w:r w:rsidR="005F3025" w:rsidRPr="00CE0424">
        <w:t xml:space="preserve">, </w:t>
      </w:r>
      <w:r w:rsidR="00577689">
        <w:t>Source</w:t>
      </w:r>
      <w:r w:rsidR="00DC0792">
        <w:t xml:space="preserve"> </w:t>
      </w:r>
      <w:r w:rsidRPr="00251DCA">
        <w:t>Ericsson, Huawei</w:t>
      </w:r>
      <w:r w:rsidR="005F3025" w:rsidRPr="00CE0424">
        <w:t xml:space="preserve">, </w:t>
      </w:r>
      <w:r w:rsidRPr="00251DCA">
        <w:t>3GPP TSG RAN Meeting #80</w:t>
      </w:r>
      <w:r w:rsidR="005F3025" w:rsidRPr="00CE0424">
        <w:t xml:space="preserve">, </w:t>
      </w:r>
      <w:r w:rsidRPr="00251DCA">
        <w:t>La Jolla, USA, June 11-14, 2018</w:t>
      </w:r>
      <w:r>
        <w:t>.</w:t>
      </w:r>
      <w:bookmarkEnd w:id="13"/>
      <w:r>
        <w:t xml:space="preserve"> </w:t>
      </w:r>
    </w:p>
    <w:p w14:paraId="0034D3CC" w14:textId="1255E28E" w:rsidR="003A7EF3" w:rsidRDefault="000F6A18" w:rsidP="00CE0424">
      <w:pPr>
        <w:pStyle w:val="Reference"/>
      </w:pPr>
      <w:bookmarkStart w:id="16" w:name="_Ref520805932"/>
      <w:r w:rsidRPr="000F6A18">
        <w:t>R1-1807107</w:t>
      </w:r>
      <w:r>
        <w:t xml:space="preserve">, </w:t>
      </w:r>
      <w:r w:rsidRPr="000F6A18">
        <w:t>Further discussion of Wake-up signal functions, 3GPP TSG RAN WG1 Meeting #93, Busan, Korea, May 21st – 25th, 2018</w:t>
      </w:r>
      <w:r>
        <w:t>.</w:t>
      </w:r>
      <w:bookmarkEnd w:id="16"/>
      <w:r>
        <w:t xml:space="preserve"> </w:t>
      </w:r>
      <w:bookmarkEnd w:id="14"/>
      <w:bookmarkEnd w:id="15"/>
    </w:p>
    <w:p w14:paraId="03E10E3F" w14:textId="315B045B" w:rsidR="004757BE" w:rsidRDefault="004757BE" w:rsidP="004757BE">
      <w:pPr>
        <w:pStyle w:val="Reference"/>
      </w:pPr>
      <w:bookmarkStart w:id="17" w:name="_Ref524696013"/>
      <w:r>
        <w:t xml:space="preserve">R1-1808645, </w:t>
      </w:r>
      <w:r w:rsidRPr="004757BE">
        <w:t>NRS on non-anchor PRB</w:t>
      </w:r>
      <w:r w:rsidR="000F1F5B">
        <w:t>, source</w:t>
      </w:r>
      <w:r>
        <w:t xml:space="preserve"> </w:t>
      </w:r>
      <w:r w:rsidRPr="004757BE">
        <w:t>ZTE</w:t>
      </w:r>
      <w:r>
        <w:t xml:space="preserve">, </w:t>
      </w:r>
      <w:r w:rsidRPr="004757BE">
        <w:t>3GPP TSG RAN WG1 Meeting #94</w:t>
      </w:r>
      <w:r>
        <w:t xml:space="preserve">, </w:t>
      </w:r>
      <w:r w:rsidRPr="004757BE">
        <w:t>Gothenburg, Sweden, August 20th – 24th, 2018</w:t>
      </w:r>
      <w:r>
        <w:t>.</w:t>
      </w:r>
      <w:bookmarkEnd w:id="17"/>
      <w:r>
        <w:t xml:space="preserve"> </w:t>
      </w:r>
    </w:p>
    <w:p w14:paraId="3A0B9BD0" w14:textId="766F086F" w:rsidR="00934171" w:rsidRDefault="00934171" w:rsidP="000F1F5B">
      <w:pPr>
        <w:pStyle w:val="Reference"/>
      </w:pPr>
      <w:bookmarkStart w:id="18" w:name="_Ref524696023"/>
      <w:r w:rsidRPr="00934171">
        <w:t>R1-1808444</w:t>
      </w:r>
      <w:r w:rsidR="000F1F5B">
        <w:t xml:space="preserve">, </w:t>
      </w:r>
      <w:r w:rsidRPr="00934171">
        <w:t>Presence of NRS on a non-</w:t>
      </w:r>
      <w:r w:rsidR="000F1F5B">
        <w:t xml:space="preserve">anchor carrier for paging, source </w:t>
      </w:r>
      <w:r w:rsidRPr="00934171">
        <w:t>Nokia, Nokia Shanghai Bell</w:t>
      </w:r>
      <w:bookmarkEnd w:id="18"/>
      <w:r w:rsidR="000F1F5B">
        <w:t xml:space="preserve">, </w:t>
      </w:r>
      <w:r w:rsidR="000F1F5B" w:rsidRPr="004757BE">
        <w:t>3GPP TSG RAN WG1 Meeting #94</w:t>
      </w:r>
      <w:r w:rsidR="000F1F5B">
        <w:t xml:space="preserve">, </w:t>
      </w:r>
      <w:r w:rsidR="000F1F5B" w:rsidRPr="004757BE">
        <w:t>Gothenburg, Sweden, August 20th – 24th, 2018</w:t>
      </w:r>
      <w:r w:rsidR="000F1F5B">
        <w:t xml:space="preserve">. </w:t>
      </w:r>
    </w:p>
    <w:p w14:paraId="305F3E53" w14:textId="7BDABC04" w:rsidR="00934171" w:rsidRDefault="00934171" w:rsidP="000F1F5B">
      <w:pPr>
        <w:pStyle w:val="Reference"/>
      </w:pPr>
      <w:bookmarkStart w:id="19" w:name="_Ref524696024"/>
      <w:r w:rsidRPr="00934171">
        <w:t>R1-1808741</w:t>
      </w:r>
      <w:r w:rsidR="000F1F5B">
        <w:t xml:space="preserve">, </w:t>
      </w:r>
      <w:r w:rsidRPr="00934171">
        <w:t>Discussion on NRS</w:t>
      </w:r>
      <w:r w:rsidR="000F1F5B">
        <w:t xml:space="preserve"> presence on non-anchor carrier, source </w:t>
      </w:r>
      <w:r w:rsidRPr="00934171">
        <w:t>Samsung</w:t>
      </w:r>
      <w:bookmarkEnd w:id="19"/>
      <w:r w:rsidR="000F1F5B">
        <w:t xml:space="preserve">, </w:t>
      </w:r>
      <w:r w:rsidR="000F1F5B" w:rsidRPr="004757BE">
        <w:t>3GPP TSG RAN WG1 Meeting #94</w:t>
      </w:r>
      <w:r w:rsidR="000F1F5B">
        <w:t xml:space="preserve">, </w:t>
      </w:r>
      <w:r w:rsidR="000F1F5B" w:rsidRPr="004757BE">
        <w:t>Gothenburg, Sweden, August 20th – 24th, 2018</w:t>
      </w:r>
      <w:r w:rsidR="000F1F5B">
        <w:t xml:space="preserve">. </w:t>
      </w:r>
    </w:p>
    <w:p w14:paraId="2FD39566" w14:textId="13D1A8C8" w:rsidR="000F1F5B" w:rsidRPr="00CE0424" w:rsidRDefault="000F1F5B" w:rsidP="000F1F5B">
      <w:pPr>
        <w:pStyle w:val="Reference"/>
      </w:pPr>
      <w:bookmarkStart w:id="20" w:name="_Ref525299086"/>
      <w:r>
        <w:rPr>
          <w:szCs w:val="24"/>
        </w:rPr>
        <w:t xml:space="preserve">R4-1806754, </w:t>
      </w:r>
      <w:r>
        <w:t xml:space="preserve">NB-IoT downlink channel quality determination and report, source Ericsson, </w:t>
      </w:r>
      <w:bookmarkStart w:id="21" w:name="_Hlk487029736"/>
      <w:bookmarkEnd w:id="21"/>
      <w:r>
        <w:t xml:space="preserve">3GPP TSG-RAN WG4 Meeting #87, </w:t>
      </w:r>
      <w:r w:rsidRPr="000F1F5B">
        <w:t>Busan, Korea (Republic of), 21 – 25 May 2018</w:t>
      </w:r>
      <w:r>
        <w:t>.</w:t>
      </w:r>
      <w:bookmarkEnd w:id="20"/>
      <w:bookmarkEnd w:id="0"/>
    </w:p>
    <w:sectPr w:rsidR="000F1F5B"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02A0E" w14:textId="77777777" w:rsidR="00B74704" w:rsidRDefault="00B74704">
      <w:r>
        <w:separator/>
      </w:r>
    </w:p>
  </w:endnote>
  <w:endnote w:type="continuationSeparator" w:id="0">
    <w:p w14:paraId="4FA81BC4" w14:textId="77777777" w:rsidR="00B74704" w:rsidRDefault="00B74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07963" w14:textId="77777777" w:rsidR="00B74704" w:rsidRDefault="00B74704">
      <w:r>
        <w:separator/>
      </w:r>
    </w:p>
  </w:footnote>
  <w:footnote w:type="continuationSeparator" w:id="0">
    <w:p w14:paraId="44AAFF05" w14:textId="77777777" w:rsidR="00B74704" w:rsidRDefault="00B74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ED76C0"/>
    <w:multiLevelType w:val="hybridMultilevel"/>
    <w:tmpl w:val="3476DB36"/>
    <w:lvl w:ilvl="0" w:tplc="0DEA177C">
      <w:start w:val="1"/>
      <w:numFmt w:val="decimal"/>
      <w:lvlText w:val="%1"/>
      <w:lvlJc w:val="left"/>
      <w:pPr>
        <w:ind w:left="1140" w:hanging="114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5"/>
  </w:num>
  <w:num w:numId="24">
    <w:abstractNumId w:val="20"/>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8AE"/>
    <w:rsid w:val="00002A37"/>
    <w:rsid w:val="0000564C"/>
    <w:rsid w:val="00006446"/>
    <w:rsid w:val="00006896"/>
    <w:rsid w:val="00007CDC"/>
    <w:rsid w:val="00011B28"/>
    <w:rsid w:val="00015D15"/>
    <w:rsid w:val="00021247"/>
    <w:rsid w:val="00022E8B"/>
    <w:rsid w:val="0002564D"/>
    <w:rsid w:val="00025ECA"/>
    <w:rsid w:val="000325B8"/>
    <w:rsid w:val="00034C15"/>
    <w:rsid w:val="00036BA1"/>
    <w:rsid w:val="000377B3"/>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CA8"/>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F5B"/>
    <w:rsid w:val="000F3BE9"/>
    <w:rsid w:val="000F3F6C"/>
    <w:rsid w:val="000F6A18"/>
    <w:rsid w:val="000F6DF3"/>
    <w:rsid w:val="001005FF"/>
    <w:rsid w:val="001049F7"/>
    <w:rsid w:val="00105BDA"/>
    <w:rsid w:val="001062FB"/>
    <w:rsid w:val="001063E6"/>
    <w:rsid w:val="00113CF4"/>
    <w:rsid w:val="00114492"/>
    <w:rsid w:val="001153EA"/>
    <w:rsid w:val="00115643"/>
    <w:rsid w:val="00116765"/>
    <w:rsid w:val="001219F5"/>
    <w:rsid w:val="00121A20"/>
    <w:rsid w:val="00122BDE"/>
    <w:rsid w:val="0012377F"/>
    <w:rsid w:val="00124314"/>
    <w:rsid w:val="00126B4A"/>
    <w:rsid w:val="001305D7"/>
    <w:rsid w:val="00132FD0"/>
    <w:rsid w:val="001344C0"/>
    <w:rsid w:val="001346FA"/>
    <w:rsid w:val="00135252"/>
    <w:rsid w:val="00137785"/>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69A"/>
    <w:rsid w:val="001B5A5D"/>
    <w:rsid w:val="001C1CE5"/>
    <w:rsid w:val="001C3D2A"/>
    <w:rsid w:val="001D51BA"/>
    <w:rsid w:val="001D53E7"/>
    <w:rsid w:val="001D6342"/>
    <w:rsid w:val="001D6D53"/>
    <w:rsid w:val="001E1112"/>
    <w:rsid w:val="001E58E2"/>
    <w:rsid w:val="001E760E"/>
    <w:rsid w:val="001E7AED"/>
    <w:rsid w:val="001F22FA"/>
    <w:rsid w:val="001F3916"/>
    <w:rsid w:val="001F54C5"/>
    <w:rsid w:val="001F662C"/>
    <w:rsid w:val="001F7074"/>
    <w:rsid w:val="00200490"/>
    <w:rsid w:val="00201F3A"/>
    <w:rsid w:val="002030F3"/>
    <w:rsid w:val="00203F96"/>
    <w:rsid w:val="002069B2"/>
    <w:rsid w:val="00207FA3"/>
    <w:rsid w:val="00214DA8"/>
    <w:rsid w:val="00214ECF"/>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314"/>
    <w:rsid w:val="00251DCA"/>
    <w:rsid w:val="00253436"/>
    <w:rsid w:val="00257543"/>
    <w:rsid w:val="002617E7"/>
    <w:rsid w:val="00264228"/>
    <w:rsid w:val="00264334"/>
    <w:rsid w:val="0026473E"/>
    <w:rsid w:val="00266214"/>
    <w:rsid w:val="00267C83"/>
    <w:rsid w:val="0027144F"/>
    <w:rsid w:val="00271813"/>
    <w:rsid w:val="00271F3A"/>
    <w:rsid w:val="00273278"/>
    <w:rsid w:val="002737F4"/>
    <w:rsid w:val="002742C1"/>
    <w:rsid w:val="002805F5"/>
    <w:rsid w:val="00280751"/>
    <w:rsid w:val="0028280A"/>
    <w:rsid w:val="00286ACD"/>
    <w:rsid w:val="00287838"/>
    <w:rsid w:val="002907B5"/>
    <w:rsid w:val="00292EB7"/>
    <w:rsid w:val="00296227"/>
    <w:rsid w:val="00296F44"/>
    <w:rsid w:val="0029777D"/>
    <w:rsid w:val="002A055E"/>
    <w:rsid w:val="002A1D4E"/>
    <w:rsid w:val="002A2869"/>
    <w:rsid w:val="002B2223"/>
    <w:rsid w:val="002B24D6"/>
    <w:rsid w:val="002C41E6"/>
    <w:rsid w:val="002D071A"/>
    <w:rsid w:val="002D34B2"/>
    <w:rsid w:val="002D48B0"/>
    <w:rsid w:val="002D5B37"/>
    <w:rsid w:val="002D7637"/>
    <w:rsid w:val="002E17F2"/>
    <w:rsid w:val="002E7CAE"/>
    <w:rsid w:val="002F2771"/>
    <w:rsid w:val="002F37A9"/>
    <w:rsid w:val="002F45FD"/>
    <w:rsid w:val="002F6DE4"/>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3F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49B"/>
    <w:rsid w:val="0043313C"/>
    <w:rsid w:val="00437447"/>
    <w:rsid w:val="00441A92"/>
    <w:rsid w:val="00442386"/>
    <w:rsid w:val="004431DC"/>
    <w:rsid w:val="004446A7"/>
    <w:rsid w:val="00444F56"/>
    <w:rsid w:val="00446488"/>
    <w:rsid w:val="004517AA"/>
    <w:rsid w:val="00452CAC"/>
    <w:rsid w:val="00457565"/>
    <w:rsid w:val="00457B71"/>
    <w:rsid w:val="004669E2"/>
    <w:rsid w:val="00470C31"/>
    <w:rsid w:val="00471DE0"/>
    <w:rsid w:val="004734D0"/>
    <w:rsid w:val="0047556B"/>
    <w:rsid w:val="004757BE"/>
    <w:rsid w:val="00477768"/>
    <w:rsid w:val="00492BC5"/>
    <w:rsid w:val="004946CD"/>
    <w:rsid w:val="004964F1"/>
    <w:rsid w:val="004A0A1A"/>
    <w:rsid w:val="004A16BC"/>
    <w:rsid w:val="004A2B94"/>
    <w:rsid w:val="004B6F6A"/>
    <w:rsid w:val="004B7C0C"/>
    <w:rsid w:val="004C3898"/>
    <w:rsid w:val="004C4FC6"/>
    <w:rsid w:val="004C77E0"/>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7689"/>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FE3"/>
    <w:rsid w:val="005C74FB"/>
    <w:rsid w:val="005D1602"/>
    <w:rsid w:val="005E385F"/>
    <w:rsid w:val="005E5B81"/>
    <w:rsid w:val="005F2CB1"/>
    <w:rsid w:val="005F3025"/>
    <w:rsid w:val="005F618C"/>
    <w:rsid w:val="005F70BD"/>
    <w:rsid w:val="0060283C"/>
    <w:rsid w:val="00604F14"/>
    <w:rsid w:val="0060716A"/>
    <w:rsid w:val="00611B83"/>
    <w:rsid w:val="00613257"/>
    <w:rsid w:val="00620A71"/>
    <w:rsid w:val="00620D80"/>
    <w:rsid w:val="006234A6"/>
    <w:rsid w:val="00630001"/>
    <w:rsid w:val="006311B3"/>
    <w:rsid w:val="0063284C"/>
    <w:rsid w:val="00636398"/>
    <w:rsid w:val="00636823"/>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06D"/>
    <w:rsid w:val="006E28B7"/>
    <w:rsid w:val="006E2A9B"/>
    <w:rsid w:val="006E3310"/>
    <w:rsid w:val="006E4E39"/>
    <w:rsid w:val="006E565E"/>
    <w:rsid w:val="006E673D"/>
    <w:rsid w:val="006E7D3B"/>
    <w:rsid w:val="006F1B70"/>
    <w:rsid w:val="006F33F4"/>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356E"/>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C1D"/>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E5E"/>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46CE"/>
    <w:rsid w:val="00875CD7"/>
    <w:rsid w:val="00876B4D"/>
    <w:rsid w:val="00877F18"/>
    <w:rsid w:val="008872C1"/>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8BF"/>
    <w:rsid w:val="008E065E"/>
    <w:rsid w:val="008E0927"/>
    <w:rsid w:val="008E1909"/>
    <w:rsid w:val="008F1C4E"/>
    <w:rsid w:val="008F1EAB"/>
    <w:rsid w:val="008F33DC"/>
    <w:rsid w:val="008F477F"/>
    <w:rsid w:val="00902350"/>
    <w:rsid w:val="0090336B"/>
    <w:rsid w:val="009053AA"/>
    <w:rsid w:val="00906939"/>
    <w:rsid w:val="00910B7D"/>
    <w:rsid w:val="009111D1"/>
    <w:rsid w:val="00911DFB"/>
    <w:rsid w:val="00912669"/>
    <w:rsid w:val="009132BA"/>
    <w:rsid w:val="009139D9"/>
    <w:rsid w:val="00914AD8"/>
    <w:rsid w:val="00916079"/>
    <w:rsid w:val="00917CE9"/>
    <w:rsid w:val="00920BF2"/>
    <w:rsid w:val="00922010"/>
    <w:rsid w:val="00931BD9"/>
    <w:rsid w:val="00934171"/>
    <w:rsid w:val="009368F3"/>
    <w:rsid w:val="00941636"/>
    <w:rsid w:val="00943742"/>
    <w:rsid w:val="00945C05"/>
    <w:rsid w:val="00946945"/>
    <w:rsid w:val="00947713"/>
    <w:rsid w:val="00950DE7"/>
    <w:rsid w:val="009511E3"/>
    <w:rsid w:val="00953920"/>
    <w:rsid w:val="00953D47"/>
    <w:rsid w:val="0095681E"/>
    <w:rsid w:val="009572D4"/>
    <w:rsid w:val="00961921"/>
    <w:rsid w:val="0096430A"/>
    <w:rsid w:val="0096554B"/>
    <w:rsid w:val="0096584A"/>
    <w:rsid w:val="00965F77"/>
    <w:rsid w:val="00970019"/>
    <w:rsid w:val="00971F08"/>
    <w:rsid w:val="0097603D"/>
    <w:rsid w:val="00976949"/>
    <w:rsid w:val="00980477"/>
    <w:rsid w:val="00985253"/>
    <w:rsid w:val="009853B3"/>
    <w:rsid w:val="0098555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0F5"/>
    <w:rsid w:val="009D4FF0"/>
    <w:rsid w:val="009D703C"/>
    <w:rsid w:val="009D718F"/>
    <w:rsid w:val="009E068F"/>
    <w:rsid w:val="009E14E0"/>
    <w:rsid w:val="009E35DB"/>
    <w:rsid w:val="009E47A3"/>
    <w:rsid w:val="009F08F3"/>
    <w:rsid w:val="009F344F"/>
    <w:rsid w:val="009F3C6D"/>
    <w:rsid w:val="00A031D8"/>
    <w:rsid w:val="00A048A8"/>
    <w:rsid w:val="00A04F49"/>
    <w:rsid w:val="00A13E54"/>
    <w:rsid w:val="00A17F63"/>
    <w:rsid w:val="00A2193B"/>
    <w:rsid w:val="00A2351A"/>
    <w:rsid w:val="00A264A9"/>
    <w:rsid w:val="00A26737"/>
    <w:rsid w:val="00A26DCF"/>
    <w:rsid w:val="00A27785"/>
    <w:rsid w:val="00A30187"/>
    <w:rsid w:val="00A3448A"/>
    <w:rsid w:val="00A36297"/>
    <w:rsid w:val="00A41E2B"/>
    <w:rsid w:val="00A45B74"/>
    <w:rsid w:val="00A52E1D"/>
    <w:rsid w:val="00A56A82"/>
    <w:rsid w:val="00A60BD0"/>
    <w:rsid w:val="00A61499"/>
    <w:rsid w:val="00A61DD2"/>
    <w:rsid w:val="00A62A77"/>
    <w:rsid w:val="00A63483"/>
    <w:rsid w:val="00A657D7"/>
    <w:rsid w:val="00A660AC"/>
    <w:rsid w:val="00A67E6C"/>
    <w:rsid w:val="00A71B99"/>
    <w:rsid w:val="00A739D0"/>
    <w:rsid w:val="00A761D4"/>
    <w:rsid w:val="00A77EC4"/>
    <w:rsid w:val="00A92879"/>
    <w:rsid w:val="00A9442A"/>
    <w:rsid w:val="00A9654D"/>
    <w:rsid w:val="00AA016F"/>
    <w:rsid w:val="00AA1ED6"/>
    <w:rsid w:val="00AA51D6"/>
    <w:rsid w:val="00AB0BC8"/>
    <w:rsid w:val="00AB11CA"/>
    <w:rsid w:val="00AB14D9"/>
    <w:rsid w:val="00AB4AB8"/>
    <w:rsid w:val="00AB655E"/>
    <w:rsid w:val="00AC007F"/>
    <w:rsid w:val="00AC1F74"/>
    <w:rsid w:val="00AC2ECD"/>
    <w:rsid w:val="00AC3119"/>
    <w:rsid w:val="00AC49FB"/>
    <w:rsid w:val="00AC5A10"/>
    <w:rsid w:val="00AD0AA3"/>
    <w:rsid w:val="00AD2ED0"/>
    <w:rsid w:val="00AD3F94"/>
    <w:rsid w:val="00AD4A5A"/>
    <w:rsid w:val="00AE27AC"/>
    <w:rsid w:val="00AE40E0"/>
    <w:rsid w:val="00AE4593"/>
    <w:rsid w:val="00AE4DBA"/>
    <w:rsid w:val="00AE4F07"/>
    <w:rsid w:val="00AF1C5D"/>
    <w:rsid w:val="00AF42D7"/>
    <w:rsid w:val="00B006FE"/>
    <w:rsid w:val="00B007CB"/>
    <w:rsid w:val="00B02AA9"/>
    <w:rsid w:val="00B02FA3"/>
    <w:rsid w:val="00B05084"/>
    <w:rsid w:val="00B14E13"/>
    <w:rsid w:val="00B157F9"/>
    <w:rsid w:val="00B20256"/>
    <w:rsid w:val="00B20D09"/>
    <w:rsid w:val="00B249B5"/>
    <w:rsid w:val="00B2763F"/>
    <w:rsid w:val="00B27AAC"/>
    <w:rsid w:val="00B30929"/>
    <w:rsid w:val="00B372AA"/>
    <w:rsid w:val="00B40445"/>
    <w:rsid w:val="00B409E0"/>
    <w:rsid w:val="00B41888"/>
    <w:rsid w:val="00B45A52"/>
    <w:rsid w:val="00B46175"/>
    <w:rsid w:val="00B548B7"/>
    <w:rsid w:val="00B664C7"/>
    <w:rsid w:val="00B704EA"/>
    <w:rsid w:val="00B739F6"/>
    <w:rsid w:val="00B74704"/>
    <w:rsid w:val="00B81A6C"/>
    <w:rsid w:val="00B85DE5"/>
    <w:rsid w:val="00B90F73"/>
    <w:rsid w:val="00B93B59"/>
    <w:rsid w:val="00B9406A"/>
    <w:rsid w:val="00B9645A"/>
    <w:rsid w:val="00BA2280"/>
    <w:rsid w:val="00BA2A08"/>
    <w:rsid w:val="00BA56D2"/>
    <w:rsid w:val="00BA76E0"/>
    <w:rsid w:val="00BB2A25"/>
    <w:rsid w:val="00BB51E9"/>
    <w:rsid w:val="00BC0FDC"/>
    <w:rsid w:val="00BC3053"/>
    <w:rsid w:val="00BC4D2E"/>
    <w:rsid w:val="00BD48AC"/>
    <w:rsid w:val="00BD5D7F"/>
    <w:rsid w:val="00BD5F1A"/>
    <w:rsid w:val="00BE1234"/>
    <w:rsid w:val="00BE2FA6"/>
    <w:rsid w:val="00BE333F"/>
    <w:rsid w:val="00BE6688"/>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89F"/>
    <w:rsid w:val="00C279B5"/>
    <w:rsid w:val="00C27C45"/>
    <w:rsid w:val="00C36C07"/>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DF4"/>
    <w:rsid w:val="00CA1ED8"/>
    <w:rsid w:val="00CA6527"/>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1269"/>
    <w:rsid w:val="00D21782"/>
    <w:rsid w:val="00D239A7"/>
    <w:rsid w:val="00D23F47"/>
    <w:rsid w:val="00D36E71"/>
    <w:rsid w:val="00D3721B"/>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522D"/>
    <w:rsid w:val="00DA305E"/>
    <w:rsid w:val="00DA5079"/>
    <w:rsid w:val="00DA5417"/>
    <w:rsid w:val="00DA56E8"/>
    <w:rsid w:val="00DB0A9F"/>
    <w:rsid w:val="00DB377D"/>
    <w:rsid w:val="00DB6A4B"/>
    <w:rsid w:val="00DC0792"/>
    <w:rsid w:val="00DC2D36"/>
    <w:rsid w:val="00DC53EF"/>
    <w:rsid w:val="00DE5608"/>
    <w:rsid w:val="00DE58D0"/>
    <w:rsid w:val="00DE654F"/>
    <w:rsid w:val="00DE6F9C"/>
    <w:rsid w:val="00DF0B6E"/>
    <w:rsid w:val="00DF15E0"/>
    <w:rsid w:val="00DF37A0"/>
    <w:rsid w:val="00E01ECC"/>
    <w:rsid w:val="00E110E7"/>
    <w:rsid w:val="00E11B20"/>
    <w:rsid w:val="00E17FA2"/>
    <w:rsid w:val="00E21223"/>
    <w:rsid w:val="00E22330"/>
    <w:rsid w:val="00E2643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3E1"/>
    <w:rsid w:val="00E72719"/>
    <w:rsid w:val="00E72EFC"/>
    <w:rsid w:val="00E73A21"/>
    <w:rsid w:val="00E758EC"/>
    <w:rsid w:val="00E774CC"/>
    <w:rsid w:val="00E8234C"/>
    <w:rsid w:val="00E83AA9"/>
    <w:rsid w:val="00E854D8"/>
    <w:rsid w:val="00E855D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209"/>
    <w:rsid w:val="00EC5653"/>
    <w:rsid w:val="00EC71CE"/>
    <w:rsid w:val="00ED1006"/>
    <w:rsid w:val="00EE2A22"/>
    <w:rsid w:val="00EF18FE"/>
    <w:rsid w:val="00EF5787"/>
    <w:rsid w:val="00EF60D0"/>
    <w:rsid w:val="00F0528D"/>
    <w:rsid w:val="00F06C67"/>
    <w:rsid w:val="00F06DFD"/>
    <w:rsid w:val="00F071D1"/>
    <w:rsid w:val="00F07533"/>
    <w:rsid w:val="00F10629"/>
    <w:rsid w:val="00F149BD"/>
    <w:rsid w:val="00F15FA5"/>
    <w:rsid w:val="00F209B7"/>
    <w:rsid w:val="00F2376F"/>
    <w:rsid w:val="00F243D8"/>
    <w:rsid w:val="00F26D93"/>
    <w:rsid w:val="00F30828"/>
    <w:rsid w:val="00F313D6"/>
    <w:rsid w:val="00F40F0C"/>
    <w:rsid w:val="00F4766C"/>
    <w:rsid w:val="00F47A78"/>
    <w:rsid w:val="00F5060E"/>
    <w:rsid w:val="00F507D1"/>
    <w:rsid w:val="00F519CE"/>
    <w:rsid w:val="00F51ADA"/>
    <w:rsid w:val="00F554F0"/>
    <w:rsid w:val="00F60203"/>
    <w:rsid w:val="00F607C5"/>
    <w:rsid w:val="00F60DEA"/>
    <w:rsid w:val="00F61654"/>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806"/>
    <w:rsid w:val="00F90F8D"/>
    <w:rsid w:val="00F92782"/>
    <w:rsid w:val="00F92C83"/>
    <w:rsid w:val="00F93AA9"/>
    <w:rsid w:val="00F96985"/>
    <w:rsid w:val="00F97838"/>
    <w:rsid w:val="00FA2BB3"/>
    <w:rsid w:val="00FB3419"/>
    <w:rsid w:val="00FB4C80"/>
    <w:rsid w:val="00FB6A6A"/>
    <w:rsid w:val="00FC7429"/>
    <w:rsid w:val="00FD07F6"/>
    <w:rsid w:val="00FD1EC8"/>
    <w:rsid w:val="00FD47ED"/>
    <w:rsid w:val="00FD74DB"/>
    <w:rsid w:val="00FD7660"/>
    <w:rsid w:val="00FE0655"/>
    <w:rsid w:val="00FE2305"/>
    <w:rsid w:val="00FE2365"/>
    <w:rsid w:val="00FE37D7"/>
    <w:rsid w:val="00FE4C7B"/>
    <w:rsid w:val="00FE7336"/>
    <w:rsid w:val="00FE787C"/>
    <w:rsid w:val="00FE7FD8"/>
    <w:rsid w:val="00FF25F6"/>
    <w:rsid w:val="00FF45A5"/>
    <w:rsid w:val="00FF5C91"/>
    <w:rsid w:val="00FF79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243883715">
      <w:bodyDiv w:val="1"/>
      <w:marLeft w:val="0"/>
      <w:marRight w:val="0"/>
      <w:marTop w:val="0"/>
      <w:marBottom w:val="0"/>
      <w:divBdr>
        <w:top w:val="none" w:sz="0" w:space="0" w:color="auto"/>
        <w:left w:val="none" w:sz="0" w:space="0" w:color="auto"/>
        <w:bottom w:val="none" w:sz="0" w:space="0" w:color="auto"/>
        <w:right w:val="none" w:sz="0" w:space="0" w:color="auto"/>
      </w:divBdr>
    </w:div>
    <w:div w:id="724178371">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4F1B6-3531-418E-A23B-1F2E8B7FB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272</TotalTime>
  <Pages>1</Pages>
  <Words>2103</Words>
  <Characters>11151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50</cp:revision>
  <cp:lastPrinted>2008-01-31T07:09:00Z</cp:lastPrinted>
  <dcterms:created xsi:type="dcterms:W3CDTF">2018-08-01T07:47:00Z</dcterms:created>
  <dcterms:modified xsi:type="dcterms:W3CDTF">2018-09-28T16:03:00Z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